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D3" w:rsidRDefault="00BA0265">
      <w:pPr>
        <w:ind w:firstLineChars="100" w:firstLine="210"/>
        <w:rPr>
          <w:rFonts w:ascii="Arial" w:eastAsia="幼圆" w:hAnsi="Arial" w:cs="Arial"/>
          <w:b/>
          <w:sz w:val="32"/>
        </w:rPr>
      </w:pPr>
      <w:r>
        <w:rPr>
          <w:noProof/>
        </w:rPr>
        <w:drawing>
          <wp:inline distT="0" distB="0" distL="0" distR="0">
            <wp:extent cx="1371600" cy="5842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9"/>
                    <a:srcRect/>
                    <a:stretch>
                      <a:fillRect/>
                    </a:stretch>
                  </pic:blipFill>
                  <pic:spPr>
                    <a:xfrm>
                      <a:off x="0" y="0"/>
                      <a:ext cx="1412901" cy="601908"/>
                    </a:xfrm>
                    <a:prstGeom prst="rect">
                      <a:avLst/>
                    </a:prstGeom>
                    <a:noFill/>
                    <a:ln w="9525">
                      <a:noFill/>
                      <a:miter lim="800000"/>
                      <a:headEnd/>
                      <a:tailEnd/>
                    </a:ln>
                  </pic:spPr>
                </pic:pic>
              </a:graphicData>
            </a:graphic>
          </wp:inline>
        </w:drawing>
      </w:r>
    </w:p>
    <w:p w:rsidR="004214D3" w:rsidRDefault="00BA0265">
      <w:pPr>
        <w:jc w:val="cente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148590</wp:posOffset>
                </wp:positionV>
                <wp:extent cx="4867275" cy="0"/>
                <wp:effectExtent l="0" t="19050" r="47625" b="38100"/>
                <wp:wrapNone/>
                <wp:docPr id="9" name="直接连接符 9"/>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11.7pt;height:0pt;width:383.25pt;z-index:251659264;mso-width-relative:page;mso-height-relative:page;" filled="f" stroked="t" coordsize="21600,21600" o:gfxdata="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Qu&#10;NtUAAAAHAQAADwAAAAAAAAABACAAAAAiAAAAZHJzL2Rvd25yZXYueG1sUEsBAhQAFAAAAAgAh07i&#10;QN7csGfsAQAAtQMAAA4AAAAAAAAAAQAgAAAAJAEAAGRycy9lMm9Eb2MueG1sUEsFBgAAAAAGAAYA&#10;WQEAAIIFAAAAAA==&#10;">
                <v:fill on="f" focussize="0,0"/>
                <v:stroke weight="4.5pt" color="#000000 [3213]" linestyle="thickThin" miterlimit="8" joinstyle="round"/>
                <v:imagedata o:title=""/>
                <o:lock v:ext="edit" aspectratio="f"/>
              </v:line>
            </w:pict>
          </mc:Fallback>
        </mc:AlternateContent>
      </w:r>
    </w:p>
    <w:p w:rsidR="004214D3" w:rsidRDefault="004214D3">
      <w:pPr>
        <w:jc w:val="center"/>
        <w:rPr>
          <w:rFonts w:ascii="Arial" w:eastAsia="幼圆" w:hAnsi="Arial" w:cs="Arial"/>
          <w:b/>
          <w:sz w:val="32"/>
        </w:rPr>
      </w:pPr>
    </w:p>
    <w:p w:rsidR="004214D3" w:rsidRDefault="00BA0265">
      <w:pPr>
        <w:jc w:val="center"/>
        <w:outlineLvl w:val="0"/>
        <w:rPr>
          <w:rFonts w:ascii="Arial" w:eastAsia="幼圆" w:hAnsi="Arial" w:cs="Arial"/>
          <w:b/>
          <w:sz w:val="32"/>
        </w:rPr>
      </w:pPr>
      <w:bookmarkStart w:id="0" w:name="_Toc15261"/>
      <w:r>
        <w:rPr>
          <w:rFonts w:ascii="Arial" w:eastAsia="幼圆" w:hAnsi="Arial" w:cs="Arial" w:hint="eastAsia"/>
          <w:b/>
          <w:sz w:val="40"/>
        </w:rPr>
        <w:t>IC</w:t>
      </w:r>
      <w:r>
        <w:rPr>
          <w:rFonts w:ascii="Arial" w:eastAsia="幼圆" w:hAnsi="Arial" w:cs="Arial" w:hint="eastAsia"/>
          <w:b/>
          <w:sz w:val="40"/>
        </w:rPr>
        <w:t>卡智能射频水表（蓝牙）分体式</w:t>
      </w:r>
      <w:bookmarkEnd w:id="0"/>
    </w:p>
    <w:p w:rsidR="004214D3" w:rsidRDefault="00BA0265">
      <w:pPr>
        <w:jc w:val="center"/>
        <w:rPr>
          <w:rFonts w:ascii="Arial" w:eastAsia="幼圆" w:hAnsi="Arial" w:cs="Arial"/>
          <w:b/>
          <w:sz w:val="36"/>
        </w:rPr>
      </w:pPr>
      <w:r>
        <w:rPr>
          <w:rFonts w:ascii="Arial" w:eastAsia="幼圆" w:hAnsi="Arial" w:cs="Arial" w:hint="eastAsia"/>
          <w:b/>
          <w:sz w:val="36"/>
        </w:rPr>
        <w:t>DN15-DN25</w:t>
      </w:r>
      <w:r>
        <w:rPr>
          <w:rFonts w:ascii="Arial" w:eastAsia="幼圆" w:hAnsi="Arial" w:cs="Arial" w:hint="eastAsia"/>
          <w:b/>
          <w:sz w:val="36"/>
        </w:rPr>
        <w:t>（高分子）</w:t>
      </w:r>
    </w:p>
    <w:p w:rsidR="004214D3" w:rsidRDefault="00BA0265">
      <w:pPr>
        <w:jc w:val="center"/>
        <w:rPr>
          <w:rFonts w:ascii="Arial" w:eastAsia="幼圆" w:hAnsi="Arial" w:cs="Arial"/>
          <w:b/>
          <w:sz w:val="32"/>
        </w:rPr>
      </w:pPr>
      <w:r>
        <w:rPr>
          <w:rFonts w:ascii="Arial" w:eastAsia="幼圆" w:hAnsi="Arial" w:cs="Arial" w:hint="eastAsia"/>
          <w:b/>
          <w:sz w:val="40"/>
        </w:rPr>
        <w:t>安装使用说明书</w:t>
      </w:r>
    </w:p>
    <w:p w:rsidR="004214D3" w:rsidRDefault="004214D3">
      <w:pPr>
        <w:jc w:val="center"/>
        <w:rPr>
          <w:rFonts w:ascii="Arial" w:eastAsia="幼圆" w:hAnsi="Arial" w:cs="Arial"/>
          <w:b/>
          <w:sz w:val="32"/>
        </w:rPr>
      </w:pPr>
    </w:p>
    <w:p w:rsidR="004214D3" w:rsidRDefault="004214D3">
      <w:pPr>
        <w:jc w:val="center"/>
        <w:rPr>
          <w:rFonts w:ascii="Arial" w:eastAsia="幼圆" w:hAnsi="Arial" w:cs="Arial"/>
          <w:b/>
          <w:sz w:val="32"/>
        </w:rPr>
      </w:pPr>
    </w:p>
    <w:p w:rsidR="004214D3" w:rsidRDefault="004214D3">
      <w:pPr>
        <w:rPr>
          <w:rFonts w:ascii="Arial" w:eastAsia="幼圆" w:hAnsi="Arial" w:cs="Arial"/>
          <w:b/>
          <w:sz w:val="32"/>
        </w:rPr>
      </w:pPr>
    </w:p>
    <w:p w:rsidR="004214D3" w:rsidRDefault="004214D3">
      <w:pPr>
        <w:rPr>
          <w:rFonts w:ascii="Arial" w:eastAsia="幼圆" w:hAnsi="Arial" w:cs="Arial"/>
          <w:b/>
          <w:sz w:val="32"/>
        </w:rPr>
      </w:pPr>
    </w:p>
    <w:p w:rsidR="004214D3" w:rsidRDefault="004214D3">
      <w:pPr>
        <w:rPr>
          <w:rFonts w:ascii="Arial" w:eastAsia="幼圆" w:hAnsi="Arial" w:cs="Arial"/>
          <w:b/>
          <w:sz w:val="32"/>
        </w:rPr>
      </w:pPr>
    </w:p>
    <w:p w:rsidR="004214D3" w:rsidRDefault="004214D3">
      <w:pPr>
        <w:rPr>
          <w:rFonts w:ascii="Arial" w:eastAsia="幼圆" w:hAnsi="Arial" w:cs="Arial"/>
          <w:b/>
          <w:sz w:val="32"/>
        </w:rPr>
      </w:pPr>
    </w:p>
    <w:p w:rsidR="004214D3" w:rsidRDefault="004214D3">
      <w:pPr>
        <w:rPr>
          <w:rFonts w:ascii="Arial" w:eastAsia="幼圆" w:hAnsi="Arial" w:cs="Arial"/>
          <w:b/>
          <w:sz w:val="32"/>
        </w:rPr>
      </w:pPr>
    </w:p>
    <w:p w:rsidR="004214D3" w:rsidRDefault="00BA0265">
      <w:pP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346710</wp:posOffset>
                </wp:positionV>
                <wp:extent cx="4867275" cy="0"/>
                <wp:effectExtent l="0" t="19050" r="47625" b="38100"/>
                <wp:wrapNone/>
                <wp:docPr id="10" name="直接连接符 10"/>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27.3pt;height:0pt;width:383.25pt;z-index:251660288;mso-width-relative:page;mso-height-relative:page;" filled="f" stroked="t" coordsize="21600,21600" o:gfxdata="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ucMZ&#10;1QAAAAcBAAAPAAAAAAAAAAEAIAAAACIAAABkcnMvZG93bnJldi54bWxQSwECFAAUAAAACACHTuJA&#10;l1lgNusBAAC3AwAADgAAAAAAAAABACAAAAAkAQAAZHJzL2Uyb0RvYy54bWxQSwUGAAAAAAYABgBZ&#10;AQAAgQUAAAAA&#10;">
                <v:fill on="f" focussize="0,0"/>
                <v:stroke weight="4.5pt" color="#000000 [3213]" linestyle="thickThin" miterlimit="8" joinstyle="round"/>
                <v:imagedata o:title=""/>
                <o:lock v:ext="edit" aspectratio="f"/>
              </v:line>
            </w:pict>
          </mc:Fallback>
        </mc:AlternateContent>
      </w:r>
    </w:p>
    <w:p w:rsidR="004214D3" w:rsidRDefault="00BA0265">
      <w:pPr>
        <w:jc w:val="center"/>
        <w:outlineLvl w:val="0"/>
        <w:rPr>
          <w:rFonts w:ascii="黑体" w:eastAsia="黑体"/>
          <w:b/>
          <w:sz w:val="44"/>
          <w:szCs w:val="44"/>
        </w:rPr>
      </w:pPr>
      <w:bookmarkStart w:id="1" w:name="_Toc15019"/>
      <w:r>
        <w:rPr>
          <w:rFonts w:ascii="黑体" w:eastAsia="黑体" w:hint="eastAsia"/>
          <w:b/>
          <w:sz w:val="44"/>
          <w:szCs w:val="44"/>
        </w:rPr>
        <w:t>益都智能技术（北京）</w:t>
      </w:r>
      <w:r w:rsidR="00EB2AD8">
        <w:rPr>
          <w:rFonts w:ascii="黑体" w:eastAsia="黑体" w:hint="eastAsia"/>
          <w:b/>
          <w:sz w:val="44"/>
          <w:szCs w:val="44"/>
        </w:rPr>
        <w:t>集团</w:t>
      </w:r>
      <w:bookmarkStart w:id="2" w:name="_GoBack"/>
      <w:bookmarkEnd w:id="2"/>
      <w:r>
        <w:rPr>
          <w:rFonts w:ascii="黑体" w:eastAsia="黑体" w:hint="eastAsia"/>
          <w:b/>
          <w:sz w:val="44"/>
          <w:szCs w:val="44"/>
        </w:rPr>
        <w:t>有限公司</w:t>
      </w:r>
      <w:bookmarkEnd w:id="1"/>
    </w:p>
    <w:p w:rsidR="004214D3" w:rsidRDefault="004214D3">
      <w:pPr>
        <w:rPr>
          <w:rFonts w:ascii="Arial" w:eastAsia="幼圆" w:hAnsi="Arial" w:cs="Arial"/>
          <w:b/>
          <w:sz w:val="32"/>
        </w:rPr>
      </w:pPr>
    </w:p>
    <w:p w:rsidR="004214D3" w:rsidRDefault="00BA026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lastRenderedPageBreak/>
        <w:t>概述</w:t>
      </w:r>
    </w:p>
    <w:p w:rsidR="004214D3" w:rsidRDefault="00BA0265">
      <w:pPr>
        <w:ind w:left="360"/>
        <w:rPr>
          <w:rFonts w:ascii="Arial" w:eastAsia="幼圆" w:hAnsi="Arial" w:cs="Arial"/>
          <w:sz w:val="18"/>
          <w:szCs w:val="18"/>
        </w:rPr>
      </w:pPr>
      <w:proofErr w:type="gramStart"/>
      <w:r>
        <w:rPr>
          <w:rFonts w:ascii="Arial" w:eastAsia="幼圆" w:hAnsi="Arial" w:cs="Arial"/>
          <w:sz w:val="18"/>
          <w:szCs w:val="18"/>
        </w:rPr>
        <w:t>蓝牙技术</w:t>
      </w:r>
      <w:proofErr w:type="gramEnd"/>
      <w:r>
        <w:rPr>
          <w:rFonts w:ascii="Arial" w:eastAsia="幼圆" w:hAnsi="Arial" w:cs="Arial"/>
          <w:sz w:val="18"/>
          <w:szCs w:val="18"/>
        </w:rPr>
        <w:t>已伴随着手机的使用进入到各个应用领域，城市供水抄表就是其中之一，具体应用</w:t>
      </w:r>
      <w:proofErr w:type="gramStart"/>
      <w:r>
        <w:rPr>
          <w:rFonts w:ascii="Arial" w:eastAsia="幼圆" w:hAnsi="Arial" w:cs="Arial"/>
          <w:sz w:val="18"/>
          <w:szCs w:val="18"/>
        </w:rPr>
        <w:t>就是蓝牙智能</w:t>
      </w:r>
      <w:proofErr w:type="gramEnd"/>
      <w:r>
        <w:rPr>
          <w:rFonts w:ascii="Arial" w:eastAsia="幼圆" w:hAnsi="Arial" w:cs="Arial"/>
          <w:sz w:val="18"/>
          <w:szCs w:val="18"/>
        </w:rPr>
        <w:t>水表。</w:t>
      </w:r>
      <w:proofErr w:type="gramStart"/>
      <w:r>
        <w:rPr>
          <w:rFonts w:ascii="Arial" w:eastAsia="幼圆" w:hAnsi="Arial" w:cs="Arial"/>
          <w:sz w:val="18"/>
          <w:szCs w:val="18"/>
        </w:rPr>
        <w:t>蓝牙智能</w:t>
      </w:r>
      <w:proofErr w:type="gramEnd"/>
      <w:r>
        <w:rPr>
          <w:rFonts w:ascii="Arial" w:eastAsia="幼圆" w:hAnsi="Arial" w:cs="Arial"/>
          <w:sz w:val="18"/>
          <w:szCs w:val="18"/>
        </w:rPr>
        <w:t>水表</w:t>
      </w:r>
      <w:r>
        <w:rPr>
          <w:rFonts w:ascii="Arial" w:eastAsia="幼圆" w:hAnsi="Arial" w:cs="Arial" w:hint="eastAsia"/>
          <w:sz w:val="18"/>
          <w:szCs w:val="18"/>
        </w:rPr>
        <w:t>的问世，实现了“抄表</w:t>
      </w:r>
      <w:proofErr w:type="gramStart"/>
      <w:r>
        <w:rPr>
          <w:rFonts w:ascii="Arial" w:eastAsia="幼圆" w:hAnsi="Arial" w:cs="Arial" w:hint="eastAsia"/>
          <w:sz w:val="18"/>
          <w:szCs w:val="18"/>
        </w:rPr>
        <w:t>不</w:t>
      </w:r>
      <w:proofErr w:type="gramEnd"/>
      <w:r>
        <w:rPr>
          <w:rFonts w:ascii="Arial" w:eastAsia="幼圆" w:hAnsi="Arial" w:cs="Arial" w:hint="eastAsia"/>
          <w:sz w:val="18"/>
          <w:szCs w:val="18"/>
        </w:rPr>
        <w:t>入户，缴费不出门”的智慧供水服务</w:t>
      </w:r>
      <w:r>
        <w:rPr>
          <w:rFonts w:ascii="Arial" w:eastAsia="幼圆" w:hAnsi="Arial" w:cs="Arial"/>
          <w:sz w:val="18"/>
          <w:szCs w:val="18"/>
        </w:rPr>
        <w:t>，是一种远程控</w:t>
      </w:r>
      <w:proofErr w:type="gramStart"/>
      <w:r>
        <w:rPr>
          <w:rFonts w:ascii="Arial" w:eastAsia="幼圆" w:hAnsi="Arial" w:cs="Arial"/>
          <w:sz w:val="18"/>
          <w:szCs w:val="18"/>
        </w:rPr>
        <w:t>水解决</w:t>
      </w:r>
      <w:proofErr w:type="gramEnd"/>
      <w:r>
        <w:rPr>
          <w:rFonts w:ascii="Arial" w:eastAsia="幼圆" w:hAnsi="Arial" w:cs="Arial"/>
          <w:sz w:val="18"/>
          <w:szCs w:val="18"/>
        </w:rPr>
        <w:t>方案，</w:t>
      </w:r>
      <w:r>
        <w:rPr>
          <w:rFonts w:ascii="Arial" w:eastAsia="幼圆" w:hAnsi="Arial" w:cs="Arial" w:hint="eastAsia"/>
          <w:sz w:val="18"/>
          <w:szCs w:val="18"/>
        </w:rPr>
        <w:t>用户只需下载一个手机</w:t>
      </w:r>
      <w:r>
        <w:rPr>
          <w:rFonts w:ascii="Arial" w:eastAsia="幼圆" w:hAnsi="Arial" w:cs="Arial" w:hint="eastAsia"/>
          <w:sz w:val="18"/>
          <w:szCs w:val="18"/>
        </w:rPr>
        <w:t>APP</w:t>
      </w:r>
      <w:r>
        <w:rPr>
          <w:rFonts w:ascii="Arial" w:eastAsia="幼圆" w:hAnsi="Arial" w:cs="Arial" w:hint="eastAsia"/>
          <w:sz w:val="18"/>
          <w:szCs w:val="18"/>
        </w:rPr>
        <w:t>，即可坐享水费缴纳、用水账单查询、余额查询，电量不足提醒等人性化的“智能水服务”</w:t>
      </w:r>
      <w:r>
        <w:rPr>
          <w:rFonts w:ascii="Arial" w:eastAsia="幼圆" w:hAnsi="Arial" w:cs="Arial"/>
          <w:sz w:val="18"/>
          <w:szCs w:val="18"/>
        </w:rPr>
        <w:t>。本产品既是使用这一突破性技术用来计量流经自来水管道饮用水的总量，</w:t>
      </w:r>
      <w:r>
        <w:rPr>
          <w:rFonts w:ascii="Arial" w:eastAsia="幼圆" w:hAnsi="Arial" w:cs="Arial" w:hint="eastAsia"/>
          <w:sz w:val="18"/>
          <w:szCs w:val="18"/>
        </w:rPr>
        <w:t xml:space="preserve"> </w:t>
      </w:r>
      <w:r>
        <w:rPr>
          <w:rFonts w:ascii="Arial" w:eastAsia="幼圆" w:hAnsi="Arial" w:cs="Arial"/>
          <w:sz w:val="18"/>
          <w:szCs w:val="18"/>
        </w:rPr>
        <w:t>它仅适用于单向流动的清洁水。</w:t>
      </w:r>
    </w:p>
    <w:p w:rsidR="004214D3" w:rsidRDefault="004214D3">
      <w:pPr>
        <w:ind w:left="360"/>
        <w:rPr>
          <w:rFonts w:ascii="Arial" w:eastAsia="幼圆" w:hAnsi="Arial" w:cs="Arial"/>
          <w:sz w:val="18"/>
          <w:szCs w:val="18"/>
        </w:rPr>
      </w:pPr>
    </w:p>
    <w:p w:rsidR="004214D3" w:rsidRDefault="00BA026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工作原理</w:t>
      </w:r>
    </w:p>
    <w:p w:rsidR="004214D3" w:rsidRDefault="00BA0265">
      <w:pPr>
        <w:ind w:firstLine="420"/>
        <w:rPr>
          <w:rFonts w:ascii="Arial" w:eastAsia="幼圆" w:hAnsi="Arial" w:cs="Arial"/>
          <w:sz w:val="18"/>
          <w:szCs w:val="18"/>
        </w:rPr>
      </w:pPr>
      <w:r>
        <w:rPr>
          <w:rFonts w:ascii="Arial" w:eastAsia="幼圆" w:hAnsi="Arial" w:cs="Arial"/>
          <w:sz w:val="18"/>
          <w:szCs w:val="18"/>
        </w:rPr>
        <w:t>水流入水表后，沿叶轮盒底部进水孔进入计量机构，推动叶轮旋转，并由叶轮盒上部出水孔流出，叶轮转速与水的流量成正比，叶轮转动经减速齿轮传递给指示机构记录出流经水表的使用水总量。记录的用水量数据通过</w:t>
      </w:r>
      <w:proofErr w:type="gramStart"/>
      <w:r>
        <w:rPr>
          <w:rFonts w:ascii="Arial" w:eastAsia="幼圆" w:hAnsi="Arial" w:cs="Arial"/>
          <w:sz w:val="18"/>
          <w:szCs w:val="18"/>
        </w:rPr>
        <w:t>蓝牙技术</w:t>
      </w:r>
      <w:proofErr w:type="gramEnd"/>
      <w:r>
        <w:rPr>
          <w:rFonts w:ascii="Arial" w:eastAsia="幼圆" w:hAnsi="Arial" w:cs="Arial"/>
          <w:sz w:val="18"/>
          <w:szCs w:val="18"/>
        </w:rPr>
        <w:t>可以与手机通信，在</w:t>
      </w:r>
      <w:proofErr w:type="gramStart"/>
      <w:r>
        <w:rPr>
          <w:rFonts w:ascii="Arial" w:eastAsia="幼圆" w:hAnsi="Arial" w:cs="Arial"/>
          <w:sz w:val="18"/>
          <w:szCs w:val="18"/>
        </w:rPr>
        <w:t>手机端可实现</w:t>
      </w:r>
      <w:proofErr w:type="gramEnd"/>
      <w:r>
        <w:rPr>
          <w:rFonts w:ascii="Arial" w:eastAsia="幼圆" w:hAnsi="Arial" w:cs="Arial"/>
          <w:sz w:val="18"/>
          <w:szCs w:val="18"/>
        </w:rPr>
        <w:t>无线抄表、网络充值、远程控制、故障检测等功能。</w:t>
      </w:r>
    </w:p>
    <w:p w:rsidR="004214D3" w:rsidRDefault="004214D3">
      <w:pPr>
        <w:ind w:firstLine="420"/>
        <w:rPr>
          <w:rFonts w:ascii="Arial" w:eastAsia="幼圆" w:hAnsi="Arial" w:cs="Arial"/>
          <w:sz w:val="18"/>
          <w:szCs w:val="18"/>
        </w:rPr>
      </w:pPr>
    </w:p>
    <w:p w:rsidR="004214D3" w:rsidRDefault="00BA026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产品特点</w:t>
      </w:r>
    </w:p>
    <w:p w:rsidR="004214D3" w:rsidRDefault="00BA0265">
      <w:pPr>
        <w:pStyle w:val="aa"/>
        <w:numPr>
          <w:ilvl w:val="0"/>
          <w:numId w:val="2"/>
        </w:numPr>
        <w:ind w:firstLineChars="0"/>
        <w:rPr>
          <w:rFonts w:ascii="Arial" w:eastAsia="幼圆" w:hAnsi="Arial" w:cs="Arial"/>
          <w:sz w:val="18"/>
          <w:szCs w:val="18"/>
        </w:rPr>
      </w:pPr>
      <w:proofErr w:type="gramStart"/>
      <w:r>
        <w:rPr>
          <w:rFonts w:ascii="Arial" w:eastAsia="幼圆" w:hAnsi="Arial" w:cs="Arial"/>
          <w:sz w:val="18"/>
          <w:szCs w:val="18"/>
        </w:rPr>
        <w:t>蓝牙是</w:t>
      </w:r>
      <w:proofErr w:type="gramEnd"/>
      <w:r>
        <w:rPr>
          <w:rFonts w:ascii="Arial" w:eastAsia="幼圆" w:hAnsi="Arial" w:cs="Arial"/>
          <w:sz w:val="18"/>
          <w:szCs w:val="18"/>
        </w:rPr>
        <w:t>一种</w:t>
      </w:r>
      <w:r>
        <w:rPr>
          <w:rFonts w:ascii="Arial" w:eastAsia="幼圆" w:hAnsi="Arial" w:cs="Arial" w:hint="eastAsia"/>
          <w:sz w:val="18"/>
          <w:szCs w:val="18"/>
        </w:rPr>
        <w:t>近距离无线数据通讯技术</w:t>
      </w:r>
      <w:r>
        <w:rPr>
          <w:rFonts w:ascii="Arial" w:eastAsia="幼圆" w:hAnsi="Arial" w:cs="Arial"/>
          <w:sz w:val="18"/>
          <w:szCs w:val="18"/>
        </w:rPr>
        <w:t>，工作在全球开放的</w:t>
      </w:r>
      <w:r>
        <w:rPr>
          <w:rFonts w:ascii="Arial" w:eastAsia="幼圆" w:hAnsi="Arial" w:cs="Arial" w:hint="eastAsia"/>
          <w:sz w:val="18"/>
          <w:szCs w:val="18"/>
        </w:rPr>
        <w:t>2.4GHz</w:t>
      </w:r>
      <w:r>
        <w:rPr>
          <w:rFonts w:ascii="Arial" w:eastAsia="幼圆" w:hAnsi="Arial" w:cs="Arial" w:hint="eastAsia"/>
          <w:sz w:val="18"/>
          <w:szCs w:val="18"/>
        </w:rPr>
        <w:t>频段</w:t>
      </w:r>
      <w:r>
        <w:rPr>
          <w:rFonts w:ascii="Arial" w:eastAsia="幼圆" w:hAnsi="Arial" w:cs="Arial"/>
          <w:sz w:val="18"/>
          <w:szCs w:val="18"/>
        </w:rPr>
        <w:t>，作为一种低成本大容量的短距离无线通信技术中的佼佼者，蓝牙具备低功耗、通讯安全性高、组</w:t>
      </w:r>
      <w:proofErr w:type="gramStart"/>
      <w:r>
        <w:rPr>
          <w:rFonts w:ascii="Arial" w:eastAsia="幼圆" w:hAnsi="Arial" w:cs="Arial"/>
          <w:sz w:val="18"/>
          <w:szCs w:val="18"/>
        </w:rPr>
        <w:t>网简单</w:t>
      </w:r>
      <w:proofErr w:type="gramEnd"/>
      <w:r>
        <w:rPr>
          <w:rFonts w:ascii="Arial" w:eastAsia="幼圆" w:hAnsi="Arial" w:cs="Arial"/>
          <w:sz w:val="18"/>
          <w:szCs w:val="18"/>
        </w:rPr>
        <w:t>方便、传输速度快和无需通讯费用等优点</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IC</w:t>
      </w:r>
      <w:r>
        <w:rPr>
          <w:rFonts w:ascii="Arial" w:eastAsia="幼圆" w:hAnsi="Arial" w:cs="Arial" w:hint="eastAsia"/>
          <w:sz w:val="18"/>
          <w:szCs w:val="18"/>
        </w:rPr>
        <w:t>卡智能射频水表</w:t>
      </w:r>
      <w:r>
        <w:rPr>
          <w:rFonts w:ascii="Arial" w:eastAsia="幼圆" w:hAnsi="Arial" w:cs="Arial"/>
          <w:sz w:val="18"/>
          <w:szCs w:val="18"/>
        </w:rPr>
        <w:t>（蓝牙）可与</w:t>
      </w:r>
      <w:proofErr w:type="gramStart"/>
      <w:r>
        <w:rPr>
          <w:rFonts w:ascii="Arial" w:eastAsia="幼圆" w:hAnsi="Arial" w:cs="Arial"/>
          <w:sz w:val="18"/>
          <w:szCs w:val="18"/>
        </w:rPr>
        <w:t>支持蓝牙</w:t>
      </w:r>
      <w:proofErr w:type="gramEnd"/>
      <w:r>
        <w:rPr>
          <w:rFonts w:ascii="Arial" w:eastAsia="幼圆" w:hAnsi="Arial" w:cs="Arial" w:hint="eastAsia"/>
          <w:sz w:val="18"/>
          <w:szCs w:val="18"/>
        </w:rPr>
        <w:t>4.0</w:t>
      </w:r>
      <w:r>
        <w:rPr>
          <w:rFonts w:ascii="Arial" w:eastAsia="幼圆" w:hAnsi="Arial" w:cs="Arial" w:hint="eastAsia"/>
          <w:sz w:val="18"/>
          <w:szCs w:val="18"/>
        </w:rPr>
        <w:t>以上的手机快速连接</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sz w:val="18"/>
          <w:szCs w:val="18"/>
        </w:rPr>
        <w:t>可以直接使用手机为水表充值、查询表</w:t>
      </w:r>
      <w:proofErr w:type="gramStart"/>
      <w:r>
        <w:rPr>
          <w:rFonts w:ascii="Arial" w:eastAsia="幼圆" w:hAnsi="Arial" w:cs="Arial"/>
          <w:sz w:val="18"/>
          <w:szCs w:val="18"/>
        </w:rPr>
        <w:t>计信息</w:t>
      </w:r>
      <w:proofErr w:type="gramEnd"/>
      <w:r>
        <w:rPr>
          <w:rFonts w:ascii="Arial" w:eastAsia="幼圆" w:hAnsi="Arial" w:cs="Arial"/>
          <w:sz w:val="18"/>
          <w:szCs w:val="18"/>
        </w:rPr>
        <w:t>及控制水表阀门</w:t>
      </w:r>
      <w:r>
        <w:rPr>
          <w:rFonts w:ascii="Arial" w:eastAsia="幼圆" w:hAnsi="Arial" w:cs="Arial" w:hint="eastAsia"/>
          <w:sz w:val="18"/>
          <w:szCs w:val="18"/>
        </w:rPr>
        <w:t xml:space="preserve"> </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sz w:val="18"/>
          <w:szCs w:val="18"/>
        </w:rPr>
        <w:t>手机</w:t>
      </w:r>
      <w:r>
        <w:rPr>
          <w:rFonts w:ascii="Arial" w:eastAsia="幼圆" w:hAnsi="Arial" w:cs="Arial" w:hint="eastAsia"/>
          <w:sz w:val="18"/>
          <w:szCs w:val="18"/>
        </w:rPr>
        <w:t>APP</w:t>
      </w:r>
      <w:r>
        <w:rPr>
          <w:rFonts w:ascii="Arial" w:eastAsia="幼圆" w:hAnsi="Arial" w:cs="Arial" w:hint="eastAsia"/>
          <w:sz w:val="18"/>
          <w:szCs w:val="18"/>
        </w:rPr>
        <w:t>操作界面简单直观、功能丰富、操作简便、阶梯水价轻松实现</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机电分离式结构，在电子部分故障后可以单独维护或更换，不影响基表的计量</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以双信号源、查脉冲方式采集读数，确保水表有效信号计费准确无误，同时防止因磁干扰偷水，具有掉电关阀和强磁保护关阀特性</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具有阀门防锈死自转功能设计</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具有剩余水量不足报警功能</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内部使用高功率电池，使用</w:t>
      </w:r>
      <w:r>
        <w:rPr>
          <w:rFonts w:ascii="Arial" w:eastAsia="幼圆" w:hAnsi="Arial" w:cs="Arial" w:hint="eastAsia"/>
          <w:sz w:val="18"/>
          <w:szCs w:val="18"/>
        </w:rPr>
        <w:t>寿命长</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结构紧密，</w:t>
      </w:r>
      <w:r>
        <w:rPr>
          <w:rFonts w:ascii="Arial" w:eastAsia="幼圆" w:hAnsi="Arial" w:cs="Arial" w:hint="eastAsia"/>
          <w:sz w:val="18"/>
          <w:szCs w:val="18"/>
        </w:rPr>
        <w:t>防护等级高</w:t>
      </w:r>
    </w:p>
    <w:p w:rsidR="004214D3" w:rsidRDefault="00BA0265">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基表采用优质高分子材料，具有计量准确、经久耐用的优点</w:t>
      </w:r>
    </w:p>
    <w:p w:rsidR="004214D3" w:rsidRDefault="004214D3">
      <w:pPr>
        <w:pStyle w:val="aa"/>
        <w:ind w:firstLineChars="0" w:firstLine="0"/>
        <w:rPr>
          <w:rFonts w:ascii="Arial" w:eastAsia="幼圆" w:hAnsi="Arial" w:cs="Arial"/>
          <w:sz w:val="18"/>
          <w:szCs w:val="18"/>
        </w:rPr>
      </w:pPr>
    </w:p>
    <w:p w:rsidR="004214D3" w:rsidRDefault="00BA026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技术参数</w:t>
      </w:r>
    </w:p>
    <w:p w:rsidR="004214D3" w:rsidRDefault="00BA0265">
      <w:pPr>
        <w:pStyle w:val="aa"/>
        <w:numPr>
          <w:ilvl w:val="0"/>
          <w:numId w:val="3"/>
        </w:numPr>
        <w:spacing w:line="300" w:lineRule="exact"/>
        <w:ind w:firstLineChars="0"/>
        <w:outlineLvl w:val="0"/>
        <w:rPr>
          <w:rFonts w:ascii="Arial" w:eastAsia="幼圆" w:hAnsi="Arial" w:cs="Arial"/>
          <w:sz w:val="18"/>
          <w:szCs w:val="18"/>
        </w:rPr>
      </w:pPr>
      <w:r>
        <w:rPr>
          <w:rFonts w:ascii="Arial" w:eastAsia="幼圆" w:hAnsi="Arial" w:cs="Arial"/>
          <w:sz w:val="18"/>
          <w:szCs w:val="18"/>
        </w:rPr>
        <w:t>该水表的各项技术指标均符合国家标准</w:t>
      </w:r>
      <w:r>
        <w:rPr>
          <w:rFonts w:ascii="Arial" w:eastAsia="幼圆" w:hAnsi="Arial" w:cs="Arial"/>
          <w:sz w:val="18"/>
          <w:szCs w:val="18"/>
        </w:rPr>
        <w:t>GB/T 778—2007</w:t>
      </w:r>
      <w:r>
        <w:rPr>
          <w:rFonts w:ascii="Arial" w:eastAsia="幼圆" w:hAnsi="Arial" w:cs="Arial"/>
          <w:sz w:val="18"/>
          <w:szCs w:val="18"/>
        </w:rPr>
        <w:t>《封闭满管道中水流量的测量</w:t>
      </w:r>
      <w:r>
        <w:rPr>
          <w:rFonts w:ascii="Arial" w:eastAsia="幼圆" w:hAnsi="Arial" w:cs="Arial"/>
          <w:sz w:val="18"/>
          <w:szCs w:val="18"/>
        </w:rPr>
        <w:t xml:space="preserve">  </w:t>
      </w:r>
      <w:r>
        <w:rPr>
          <w:rFonts w:ascii="Arial" w:eastAsia="幼圆" w:hAnsi="Arial" w:cs="Arial"/>
          <w:sz w:val="18"/>
          <w:szCs w:val="18"/>
        </w:rPr>
        <w:t>饮用冷水水表和热水水表》，</w:t>
      </w:r>
      <w:r>
        <w:rPr>
          <w:rFonts w:ascii="Arial" w:eastAsia="幼圆" w:hAnsi="Arial" w:cs="Arial"/>
          <w:sz w:val="18"/>
          <w:szCs w:val="18"/>
        </w:rPr>
        <w:t>CJ/T224-2012</w:t>
      </w:r>
      <w:r>
        <w:rPr>
          <w:rFonts w:ascii="Arial" w:eastAsia="幼圆" w:hAnsi="Arial" w:cs="Arial"/>
          <w:sz w:val="18"/>
          <w:szCs w:val="18"/>
        </w:rPr>
        <w:t>《电子远传水表》的规定</w:t>
      </w:r>
    </w:p>
    <w:p w:rsidR="004214D3" w:rsidRDefault="00BA0265">
      <w:pPr>
        <w:pStyle w:val="aa"/>
        <w:numPr>
          <w:ilvl w:val="0"/>
          <w:numId w:val="3"/>
        </w:numPr>
        <w:spacing w:line="300" w:lineRule="exact"/>
        <w:ind w:firstLineChars="0"/>
        <w:outlineLvl w:val="1"/>
        <w:rPr>
          <w:rFonts w:ascii="Arial" w:eastAsia="幼圆" w:hAnsi="Arial" w:cs="Arial"/>
        </w:rPr>
      </w:pPr>
      <w:r>
        <w:rPr>
          <w:rFonts w:ascii="Arial" w:eastAsia="幼圆" w:hAnsi="Arial" w:cs="Arial"/>
          <w:sz w:val="18"/>
          <w:szCs w:val="18"/>
        </w:rPr>
        <w:t>水表的安全性能符合</w:t>
      </w:r>
      <w:r>
        <w:rPr>
          <w:rFonts w:ascii="Arial" w:eastAsia="幼圆" w:hAnsi="Arial" w:cs="Arial"/>
          <w:sz w:val="18"/>
          <w:szCs w:val="18"/>
        </w:rPr>
        <w:t>CJ 266—2008</w:t>
      </w:r>
      <w:r>
        <w:rPr>
          <w:rFonts w:ascii="Arial" w:eastAsia="幼圆" w:hAnsi="Arial" w:cs="Arial"/>
          <w:sz w:val="18"/>
          <w:szCs w:val="18"/>
        </w:rPr>
        <w:t>《饮用水冷水水表安全规则》的规定</w:t>
      </w:r>
    </w:p>
    <w:tbl>
      <w:tblPr>
        <w:tblStyle w:val="a7"/>
        <w:tblW w:w="7062" w:type="dxa"/>
        <w:tblInd w:w="135" w:type="dxa"/>
        <w:tblLayout w:type="fixed"/>
        <w:tblLook w:val="04A0" w:firstRow="1" w:lastRow="0" w:firstColumn="1" w:lastColumn="0" w:noHBand="0" w:noVBand="1"/>
      </w:tblPr>
      <w:tblGrid>
        <w:gridCol w:w="1413"/>
        <w:gridCol w:w="2977"/>
        <w:gridCol w:w="2672"/>
      </w:tblGrid>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通讯方式</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proofErr w:type="gramStart"/>
            <w:r>
              <w:rPr>
                <w:rFonts w:ascii="宋体" w:eastAsia="宋体" w:hAnsi="宋体" w:cs="宋体" w:hint="eastAsia"/>
                <w:sz w:val="20"/>
                <w:szCs w:val="20"/>
              </w:rPr>
              <w:t>蓝牙</w:t>
            </w:r>
            <w:proofErr w:type="gramEnd"/>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工作频段</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2.4GHz</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数据吞吐量</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24Mbit/s</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最大功率（通讯范围）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4dBm</w:t>
            </w:r>
            <w:r>
              <w:rPr>
                <w:rFonts w:ascii="宋体" w:eastAsia="宋体" w:hAnsi="宋体" w:cs="宋体" w:hint="eastAsia"/>
                <w:sz w:val="20"/>
                <w:szCs w:val="20"/>
              </w:rPr>
              <w:t>±</w:t>
            </w:r>
            <w:r>
              <w:rPr>
                <w:rFonts w:ascii="宋体" w:eastAsia="宋体" w:hAnsi="宋体" w:cs="宋体" w:hint="eastAsia"/>
                <w:sz w:val="20"/>
                <w:szCs w:val="20"/>
              </w:rPr>
              <w:t>2dB</w:t>
            </w:r>
            <w:r>
              <w:rPr>
                <w:rFonts w:ascii="宋体" w:eastAsia="宋体" w:hAnsi="宋体" w:cs="宋体" w:hint="eastAsia"/>
                <w:sz w:val="20"/>
                <w:szCs w:val="20"/>
              </w:rPr>
              <w:t>（≤</w:t>
            </w:r>
            <w:r>
              <w:rPr>
                <w:rFonts w:ascii="宋体" w:eastAsia="宋体" w:hAnsi="宋体" w:cs="宋体" w:hint="eastAsia"/>
                <w:sz w:val="20"/>
                <w:szCs w:val="20"/>
              </w:rPr>
              <w:t>10M</w:t>
            </w:r>
            <w:r>
              <w:rPr>
                <w:rFonts w:ascii="宋体" w:eastAsia="宋体" w:hAnsi="宋体" w:cs="宋体" w:hint="eastAsia"/>
                <w:sz w:val="20"/>
                <w:szCs w:val="20"/>
              </w:rPr>
              <w:t>）</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最高工作压力</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 xml:space="preserve">1.0 </w:t>
            </w:r>
            <w:proofErr w:type="spellStart"/>
            <w:r>
              <w:rPr>
                <w:rFonts w:ascii="宋体" w:eastAsia="宋体" w:hAnsi="宋体" w:cs="宋体" w:hint="eastAsia"/>
                <w:sz w:val="20"/>
                <w:szCs w:val="20"/>
                <w:lang w:bidi="ar"/>
              </w:rPr>
              <w:t>MPa</w:t>
            </w:r>
            <w:proofErr w:type="spellEnd"/>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最大压力损失</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Δ</w:t>
            </w:r>
            <w:r>
              <w:rPr>
                <w:rFonts w:ascii="宋体" w:eastAsia="宋体" w:hAnsi="宋体" w:cs="宋体" w:hint="eastAsia"/>
                <w:sz w:val="20"/>
                <w:szCs w:val="20"/>
                <w:lang w:bidi="ar"/>
              </w:rPr>
              <w:t xml:space="preserve">P </w:t>
            </w:r>
            <w:r>
              <w:rPr>
                <w:rFonts w:ascii="宋体" w:eastAsia="宋体" w:hAnsi="宋体" w:cs="宋体" w:hint="eastAsia"/>
                <w:sz w:val="20"/>
                <w:szCs w:val="20"/>
                <w:lang w:bidi="ar"/>
              </w:rPr>
              <w:t>≤</w:t>
            </w:r>
            <w:r>
              <w:rPr>
                <w:rFonts w:ascii="宋体" w:eastAsia="宋体" w:hAnsi="宋体" w:cs="宋体" w:hint="eastAsia"/>
                <w:sz w:val="20"/>
                <w:szCs w:val="20"/>
                <w:lang w:bidi="ar"/>
              </w:rPr>
              <w:t xml:space="preserve"> 0.063 </w:t>
            </w:r>
            <w:proofErr w:type="spellStart"/>
            <w:r>
              <w:rPr>
                <w:rFonts w:ascii="宋体" w:eastAsia="宋体" w:hAnsi="宋体" w:cs="宋体" w:hint="eastAsia"/>
                <w:sz w:val="20"/>
                <w:szCs w:val="20"/>
                <w:lang w:bidi="ar"/>
              </w:rPr>
              <w:t>Mpa</w:t>
            </w:r>
            <w:proofErr w:type="spellEnd"/>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准确度等级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2</w:t>
            </w:r>
            <w:r>
              <w:rPr>
                <w:rFonts w:ascii="宋体" w:eastAsia="宋体" w:hAnsi="宋体" w:cs="宋体" w:hint="eastAsia"/>
                <w:sz w:val="20"/>
                <w:szCs w:val="20"/>
                <w:lang w:bidi="ar"/>
              </w:rPr>
              <w:t>级</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静态工作电流</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w:t>
            </w:r>
            <w:r>
              <w:rPr>
                <w:rFonts w:ascii="宋体" w:eastAsia="宋体" w:hAnsi="宋体" w:cs="宋体" w:hint="eastAsia"/>
                <w:sz w:val="20"/>
                <w:szCs w:val="20"/>
                <w:lang w:bidi="ar"/>
              </w:rPr>
              <w:t>5</w:t>
            </w:r>
            <w:r>
              <w:rPr>
                <w:rFonts w:ascii="宋体" w:eastAsia="宋体" w:hAnsi="宋体" w:cs="宋体" w:hint="eastAsia"/>
                <w:sz w:val="20"/>
                <w:szCs w:val="20"/>
                <w:lang w:bidi="ar"/>
              </w:rPr>
              <w:t>μ</w:t>
            </w:r>
            <w:r>
              <w:rPr>
                <w:rFonts w:ascii="宋体" w:eastAsia="宋体" w:hAnsi="宋体" w:cs="宋体" w:hint="eastAsia"/>
                <w:sz w:val="20"/>
                <w:szCs w:val="20"/>
                <w:lang w:bidi="ar"/>
              </w:rPr>
              <w:t>A</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阀门开</w:t>
            </w:r>
            <w:r>
              <w:rPr>
                <w:rFonts w:ascii="宋体" w:eastAsia="宋体" w:hAnsi="宋体" w:cs="宋体" w:hint="eastAsia"/>
                <w:sz w:val="20"/>
                <w:szCs w:val="20"/>
                <w:lang w:bidi="ar"/>
              </w:rPr>
              <w:t>/</w:t>
            </w:r>
            <w:r>
              <w:rPr>
                <w:rFonts w:ascii="宋体" w:eastAsia="宋体" w:hAnsi="宋体" w:cs="宋体" w:hint="eastAsia"/>
                <w:sz w:val="20"/>
                <w:szCs w:val="20"/>
                <w:lang w:bidi="ar"/>
              </w:rPr>
              <w:t>关时间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w:t>
            </w:r>
            <w:r>
              <w:rPr>
                <w:rFonts w:ascii="宋体" w:eastAsia="宋体" w:hAnsi="宋体" w:cs="宋体" w:hint="eastAsia"/>
                <w:sz w:val="20"/>
                <w:szCs w:val="20"/>
                <w:lang w:bidi="ar"/>
              </w:rPr>
              <w:t>8s</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电池类型</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3.6V</w:t>
            </w:r>
            <w:r>
              <w:rPr>
                <w:rFonts w:ascii="宋体" w:eastAsia="宋体" w:hAnsi="宋体" w:cs="宋体" w:hint="eastAsia"/>
                <w:sz w:val="20"/>
                <w:szCs w:val="20"/>
                <w:lang w:bidi="ar"/>
              </w:rPr>
              <w:t>功率型锂电池</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电池工作时间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6</w:t>
            </w:r>
            <w:r>
              <w:rPr>
                <w:rFonts w:ascii="宋体" w:eastAsia="宋体" w:hAnsi="宋体" w:cs="宋体" w:hint="eastAsia"/>
                <w:sz w:val="20"/>
                <w:szCs w:val="20"/>
              </w:rPr>
              <w:t>年</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阀门耐用性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10000</w:t>
            </w:r>
            <w:r>
              <w:rPr>
                <w:rFonts w:ascii="宋体" w:eastAsia="宋体" w:hAnsi="宋体" w:cs="宋体" w:hint="eastAsia"/>
                <w:sz w:val="20"/>
                <w:szCs w:val="20"/>
              </w:rPr>
              <w:t>次</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温度等级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T30</w:t>
            </w:r>
          </w:p>
        </w:tc>
      </w:tr>
      <w:tr w:rsidR="004214D3">
        <w:tc>
          <w:tcPr>
            <w:tcW w:w="1413"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防护等级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214D3" w:rsidRDefault="00BA0265">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可达</w:t>
            </w:r>
            <w:r>
              <w:rPr>
                <w:rFonts w:ascii="宋体" w:eastAsia="宋体" w:hAnsi="宋体" w:cs="宋体" w:hint="eastAsia"/>
                <w:sz w:val="20"/>
                <w:szCs w:val="20"/>
                <w:lang w:bidi="ar"/>
              </w:rPr>
              <w:t>IP68</w:t>
            </w:r>
          </w:p>
        </w:tc>
      </w:tr>
    </w:tbl>
    <w:p w:rsidR="004214D3" w:rsidRDefault="004214D3">
      <w:pPr>
        <w:pStyle w:val="aa"/>
        <w:ind w:left="420" w:firstLineChars="0" w:firstLine="0"/>
        <w:rPr>
          <w:rFonts w:ascii="Arial" w:eastAsia="幼圆" w:hAnsi="Arial" w:cs="Arial"/>
        </w:rPr>
      </w:pPr>
    </w:p>
    <w:p w:rsidR="004214D3" w:rsidRDefault="00BA026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规格尺寸</w:t>
      </w:r>
    </w:p>
    <w:p w:rsidR="004214D3" w:rsidRDefault="00BA0265">
      <w:pPr>
        <w:jc w:val="center"/>
        <w:rPr>
          <w:rFonts w:ascii="宋体" w:hAnsi="宋体" w:cs="宋体"/>
          <w:color w:val="666464"/>
          <w:sz w:val="18"/>
          <w:szCs w:val="18"/>
          <w:shd w:val="clear" w:color="auto" w:fill="FFFFFF"/>
        </w:rPr>
      </w:pPr>
      <w:r>
        <w:rPr>
          <w:rFonts w:ascii="Arial" w:eastAsia="幼圆" w:hAnsi="Arial" w:cs="Arial"/>
          <w:b/>
          <w:noProof/>
          <w:sz w:val="24"/>
          <w:szCs w:val="24"/>
        </w:rPr>
        <w:drawing>
          <wp:anchor distT="0" distB="0" distL="114300" distR="114300" simplePos="0" relativeHeight="251661312" behindDoc="0" locked="0" layoutInCell="1" allowOverlap="1">
            <wp:simplePos x="0" y="0"/>
            <wp:positionH relativeFrom="column">
              <wp:posOffset>1170305</wp:posOffset>
            </wp:positionH>
            <wp:positionV relativeFrom="paragraph">
              <wp:posOffset>70485</wp:posOffset>
            </wp:positionV>
            <wp:extent cx="1891665" cy="1447165"/>
            <wp:effectExtent l="0" t="0" r="635" b="635"/>
            <wp:wrapTopAndBottom/>
            <wp:docPr id="1" name="图片 1" descr="a7753b9bd8969603eb113ebdd89f2cc"/>
            <wp:cNvGraphicFramePr>
              <a:graphicFrameLocks xmlns:a="http://schemas.openxmlformats.org/drawingml/2006/main" noChangeAspect="1"/>
              <a:extLst xmlns:a="http://schemas.openxmlformats.org/drawingml/2006/main">
                <a:ext uri="{7FBC4E63-A832-4D11-8238-D91031DB1400}">
                  <s:tag xmlns:s="http://www.wps.cn/officeDocument/2013/wpsCustomData" xmlns="http://www.wps.cn/officeDocument/2013/wpsCustomData" xmlns:wpsCustomData="http://www.wps.cn/officeDocument/2013/wpsCustomData" xmlns:w15="http://schemas.microsoft.com/office/word/2012/wordml" xmlns:w10="urn:schemas-microsoft-com:office:word" xmlns:w="http://schemas.openxmlformats.org/wordprocessingml/2006/main" xmlns:v="urn:schemas-microsoft-com:vml" xmlns:o="urn:schemas-microsoft-com:office:office">
                    <s:item s:name="KSO_WM_UNIT_PLACING_PICTURE_USER_VIEWPORT" s:val="{&quot;height&quot;:2279,&quot;width&quot;:2979}"/>
                  </s:tag>
                </a:ext>
              </a:extLst>
            </wp:cNvGraphicFramePr>
            <a:graphic xmlns:a="http://schemas.openxmlformats.org/drawingml/2006/main">
              <a:graphicData uri="http://schemas.openxmlformats.org/drawingml/2006/picture">
                <pic:pic xmlns:pic="http://schemas.openxmlformats.org/drawingml/2006/picture">
                  <pic:nvPicPr>
                    <pic:cNvPr id="1" name="图片 1" descr="a7753b9bd8969603eb113ebdd89f2cc"/>
                    <pic:cNvPicPr>
                      <a:picLocks noChangeAspect="1"/>
                    </pic:cNvPicPr>
                  </pic:nvPicPr>
                  <pic:blipFill>
                    <a:blip r:embed="rId10"/>
                    <a:srcRect l="17572" t="16675" r="22205" b="21890"/>
                    <a:stretch>
                      <a:fillRect/>
                    </a:stretch>
                  </pic:blipFill>
                  <pic:spPr>
                    <a:xfrm>
                      <a:off x="0" y="0"/>
                      <a:ext cx="1891665" cy="1447165"/>
                    </a:xfrm>
                    <a:prstGeom prst="rect">
                      <a:avLst/>
                    </a:prstGeom>
                  </pic:spPr>
                </pic:pic>
              </a:graphicData>
            </a:graphic>
          </wp:anchor>
        </w:drawing>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920"/>
        <w:gridCol w:w="920"/>
        <w:gridCol w:w="921"/>
        <w:gridCol w:w="992"/>
        <w:gridCol w:w="992"/>
      </w:tblGrid>
      <w:tr w:rsidR="004214D3">
        <w:trPr>
          <w:jc w:val="center"/>
        </w:trPr>
        <w:tc>
          <w:tcPr>
            <w:tcW w:w="920" w:type="dxa"/>
            <w:vAlign w:val="center"/>
          </w:tcPr>
          <w:p w:rsidR="004214D3" w:rsidRDefault="00BA0265">
            <w:pPr>
              <w:jc w:val="center"/>
              <w:rPr>
                <w:b/>
                <w:sz w:val="18"/>
                <w:szCs w:val="18"/>
              </w:rPr>
            </w:pPr>
            <w:r>
              <w:rPr>
                <w:rFonts w:hint="eastAsia"/>
                <w:b/>
                <w:sz w:val="18"/>
                <w:szCs w:val="18"/>
              </w:rPr>
              <w:t>规格</w:t>
            </w:r>
          </w:p>
          <w:p w:rsidR="004214D3" w:rsidRDefault="00BA0265">
            <w:pPr>
              <w:jc w:val="center"/>
              <w:rPr>
                <w:b/>
                <w:sz w:val="18"/>
                <w:szCs w:val="18"/>
              </w:rPr>
            </w:pP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4214D3" w:rsidRDefault="00BA0265">
            <w:pPr>
              <w:jc w:val="center"/>
              <w:rPr>
                <w:b/>
                <w:sz w:val="18"/>
                <w:szCs w:val="18"/>
              </w:rPr>
            </w:pPr>
            <w:r>
              <w:rPr>
                <w:rFonts w:hint="eastAsia"/>
                <w:b/>
                <w:sz w:val="18"/>
                <w:szCs w:val="18"/>
              </w:rPr>
              <w:t>长</w:t>
            </w:r>
            <w:r>
              <w:rPr>
                <w:rFonts w:hint="eastAsia"/>
                <w:b/>
                <w:sz w:val="18"/>
                <w:szCs w:val="18"/>
              </w:rPr>
              <w:t>L</w:t>
            </w: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4214D3" w:rsidRDefault="00BA0265">
            <w:pPr>
              <w:jc w:val="center"/>
              <w:rPr>
                <w:b/>
                <w:sz w:val="18"/>
                <w:szCs w:val="18"/>
              </w:rPr>
            </w:pPr>
            <w:r>
              <w:rPr>
                <w:rFonts w:hint="eastAsia"/>
                <w:b/>
                <w:sz w:val="18"/>
                <w:szCs w:val="18"/>
              </w:rPr>
              <w:t>宽</w:t>
            </w:r>
            <w:r>
              <w:rPr>
                <w:rFonts w:hint="eastAsia"/>
                <w:b/>
                <w:sz w:val="18"/>
                <w:szCs w:val="18"/>
              </w:rPr>
              <w:t>W (mm)</w:t>
            </w:r>
          </w:p>
        </w:tc>
        <w:tc>
          <w:tcPr>
            <w:tcW w:w="921" w:type="dxa"/>
            <w:vAlign w:val="center"/>
          </w:tcPr>
          <w:p w:rsidR="004214D3" w:rsidRDefault="00BA0265">
            <w:pPr>
              <w:jc w:val="center"/>
              <w:rPr>
                <w:b/>
                <w:sz w:val="18"/>
                <w:szCs w:val="18"/>
              </w:rPr>
            </w:pPr>
            <w:r>
              <w:rPr>
                <w:rFonts w:hint="eastAsia"/>
                <w:b/>
                <w:sz w:val="18"/>
                <w:szCs w:val="18"/>
              </w:rPr>
              <w:t>高</w:t>
            </w:r>
            <w:r>
              <w:rPr>
                <w:rFonts w:hint="eastAsia"/>
                <w:b/>
                <w:sz w:val="18"/>
                <w:szCs w:val="18"/>
              </w:rPr>
              <w:t>H</w:t>
            </w:r>
            <w:r>
              <w:rPr>
                <w:rFonts w:hint="eastAsia"/>
                <w:b/>
                <w:sz w:val="18"/>
                <w:szCs w:val="18"/>
              </w:rPr>
              <w:t>（</w:t>
            </w:r>
            <w:r>
              <w:rPr>
                <w:rFonts w:hint="eastAsia"/>
                <w:b/>
                <w:sz w:val="18"/>
                <w:szCs w:val="18"/>
              </w:rPr>
              <w:t>mm</w:t>
            </w:r>
            <w:r>
              <w:rPr>
                <w:rFonts w:hint="eastAsia"/>
                <w:b/>
                <w:sz w:val="18"/>
                <w:szCs w:val="18"/>
              </w:rPr>
              <w:t>）</w:t>
            </w:r>
          </w:p>
        </w:tc>
        <w:tc>
          <w:tcPr>
            <w:tcW w:w="992" w:type="dxa"/>
            <w:vAlign w:val="center"/>
          </w:tcPr>
          <w:p w:rsidR="004214D3" w:rsidRDefault="00BA0265">
            <w:pPr>
              <w:jc w:val="center"/>
              <w:rPr>
                <w:b/>
                <w:sz w:val="18"/>
                <w:szCs w:val="18"/>
              </w:rPr>
            </w:pPr>
            <w:r>
              <w:rPr>
                <w:rFonts w:hint="eastAsia"/>
                <w:b/>
                <w:sz w:val="18"/>
                <w:szCs w:val="18"/>
              </w:rPr>
              <w:t>Q3</w:t>
            </w:r>
          </w:p>
          <w:p w:rsidR="004214D3" w:rsidRDefault="00BA0265">
            <w:pPr>
              <w:jc w:val="center"/>
              <w:rPr>
                <w:b/>
                <w:sz w:val="18"/>
                <w:szCs w:val="18"/>
              </w:rPr>
            </w:pPr>
            <w:r>
              <w:rPr>
                <w:rFonts w:hint="eastAsia"/>
                <w:b/>
                <w:sz w:val="18"/>
                <w:szCs w:val="18"/>
              </w:rPr>
              <w:t>(m</w:t>
            </w:r>
            <w:r>
              <w:rPr>
                <w:rFonts w:hint="eastAsia"/>
                <w:b/>
                <w:sz w:val="18"/>
                <w:szCs w:val="18"/>
              </w:rPr>
              <w:t>³</w:t>
            </w:r>
            <w:r>
              <w:rPr>
                <w:rFonts w:hint="eastAsia"/>
                <w:b/>
                <w:sz w:val="18"/>
                <w:szCs w:val="18"/>
              </w:rPr>
              <w:t>/h)</w:t>
            </w:r>
          </w:p>
        </w:tc>
        <w:tc>
          <w:tcPr>
            <w:tcW w:w="992" w:type="dxa"/>
            <w:vAlign w:val="center"/>
          </w:tcPr>
          <w:p w:rsidR="004214D3" w:rsidRDefault="00BA0265">
            <w:pPr>
              <w:jc w:val="center"/>
              <w:rPr>
                <w:b/>
                <w:sz w:val="18"/>
                <w:szCs w:val="18"/>
              </w:rPr>
            </w:pPr>
            <w:r>
              <w:rPr>
                <w:rFonts w:hint="eastAsia"/>
                <w:b/>
                <w:sz w:val="18"/>
                <w:szCs w:val="18"/>
              </w:rPr>
              <w:t>量程比</w:t>
            </w:r>
            <w:r>
              <w:rPr>
                <w:rFonts w:hint="eastAsia"/>
                <w:b/>
                <w:sz w:val="18"/>
                <w:szCs w:val="18"/>
              </w:rPr>
              <w:t>R</w:t>
            </w:r>
          </w:p>
        </w:tc>
      </w:tr>
      <w:tr w:rsidR="004214D3">
        <w:trPr>
          <w:jc w:val="center"/>
        </w:trPr>
        <w:tc>
          <w:tcPr>
            <w:tcW w:w="920" w:type="dxa"/>
            <w:vAlign w:val="center"/>
          </w:tcPr>
          <w:p w:rsidR="004214D3" w:rsidRDefault="00BA0265">
            <w:pPr>
              <w:jc w:val="center"/>
              <w:rPr>
                <w:b/>
                <w:sz w:val="18"/>
                <w:szCs w:val="18"/>
              </w:rPr>
            </w:pPr>
            <w:r>
              <w:rPr>
                <w:rFonts w:hint="eastAsia"/>
                <w:b/>
                <w:sz w:val="18"/>
                <w:szCs w:val="18"/>
              </w:rPr>
              <w:t>15</w:t>
            </w:r>
          </w:p>
        </w:tc>
        <w:tc>
          <w:tcPr>
            <w:tcW w:w="920" w:type="dxa"/>
            <w:vAlign w:val="center"/>
          </w:tcPr>
          <w:p w:rsidR="004214D3" w:rsidRDefault="00BA0265">
            <w:pPr>
              <w:jc w:val="center"/>
              <w:rPr>
                <w:b/>
                <w:sz w:val="18"/>
                <w:szCs w:val="18"/>
              </w:rPr>
            </w:pPr>
            <w:r>
              <w:rPr>
                <w:rFonts w:hint="eastAsia"/>
                <w:b/>
                <w:sz w:val="18"/>
                <w:szCs w:val="18"/>
              </w:rPr>
              <w:t>165</w:t>
            </w:r>
          </w:p>
        </w:tc>
        <w:tc>
          <w:tcPr>
            <w:tcW w:w="920" w:type="dxa"/>
            <w:vAlign w:val="center"/>
          </w:tcPr>
          <w:p w:rsidR="004214D3" w:rsidRDefault="00BA0265">
            <w:pPr>
              <w:jc w:val="center"/>
              <w:rPr>
                <w:b/>
                <w:sz w:val="18"/>
                <w:szCs w:val="18"/>
              </w:rPr>
            </w:pPr>
            <w:r>
              <w:rPr>
                <w:b/>
                <w:sz w:val="18"/>
                <w:szCs w:val="18"/>
              </w:rPr>
              <w:t>86</w:t>
            </w:r>
          </w:p>
        </w:tc>
        <w:tc>
          <w:tcPr>
            <w:tcW w:w="921" w:type="dxa"/>
            <w:vAlign w:val="center"/>
          </w:tcPr>
          <w:p w:rsidR="004214D3" w:rsidRDefault="00BA0265">
            <w:pPr>
              <w:jc w:val="center"/>
              <w:rPr>
                <w:b/>
                <w:sz w:val="18"/>
                <w:szCs w:val="18"/>
              </w:rPr>
            </w:pPr>
            <w:r>
              <w:rPr>
                <w:rFonts w:hint="eastAsia"/>
                <w:b/>
                <w:sz w:val="18"/>
                <w:szCs w:val="18"/>
              </w:rPr>
              <w:t>1</w:t>
            </w:r>
            <w:r>
              <w:rPr>
                <w:b/>
                <w:sz w:val="18"/>
                <w:szCs w:val="18"/>
              </w:rPr>
              <w:t>15</w:t>
            </w:r>
          </w:p>
        </w:tc>
        <w:tc>
          <w:tcPr>
            <w:tcW w:w="992" w:type="dxa"/>
            <w:vAlign w:val="center"/>
          </w:tcPr>
          <w:p w:rsidR="004214D3" w:rsidRDefault="00BA0265">
            <w:pPr>
              <w:jc w:val="center"/>
              <w:rPr>
                <w:b/>
                <w:sz w:val="18"/>
                <w:szCs w:val="18"/>
              </w:rPr>
            </w:pPr>
            <w:r>
              <w:rPr>
                <w:rFonts w:hint="eastAsia"/>
                <w:b/>
                <w:sz w:val="18"/>
                <w:szCs w:val="18"/>
              </w:rPr>
              <w:t>2.5</w:t>
            </w:r>
          </w:p>
        </w:tc>
        <w:tc>
          <w:tcPr>
            <w:tcW w:w="992" w:type="dxa"/>
            <w:vAlign w:val="center"/>
          </w:tcPr>
          <w:p w:rsidR="004214D3" w:rsidRDefault="00BA0265">
            <w:pPr>
              <w:jc w:val="center"/>
              <w:rPr>
                <w:b/>
                <w:sz w:val="18"/>
                <w:szCs w:val="18"/>
              </w:rPr>
            </w:pPr>
            <w:r>
              <w:rPr>
                <w:rFonts w:ascii="Times New Roman" w:hAnsi="Times New Roman" w:cs="Times New Roman"/>
                <w:b/>
                <w:sz w:val="18"/>
                <w:szCs w:val="18"/>
              </w:rPr>
              <w:t>≥</w:t>
            </w:r>
            <w:r>
              <w:rPr>
                <w:b/>
                <w:sz w:val="18"/>
                <w:szCs w:val="18"/>
              </w:rPr>
              <w:t>8</w:t>
            </w:r>
            <w:r>
              <w:rPr>
                <w:rFonts w:hint="eastAsia"/>
                <w:b/>
                <w:sz w:val="18"/>
                <w:szCs w:val="18"/>
              </w:rPr>
              <w:t>0</w:t>
            </w:r>
          </w:p>
        </w:tc>
      </w:tr>
      <w:tr w:rsidR="004214D3">
        <w:trPr>
          <w:jc w:val="center"/>
        </w:trPr>
        <w:tc>
          <w:tcPr>
            <w:tcW w:w="920" w:type="dxa"/>
            <w:vAlign w:val="center"/>
          </w:tcPr>
          <w:p w:rsidR="004214D3" w:rsidRDefault="00BA0265">
            <w:pPr>
              <w:jc w:val="center"/>
              <w:rPr>
                <w:b/>
                <w:sz w:val="18"/>
                <w:szCs w:val="18"/>
              </w:rPr>
            </w:pPr>
            <w:r>
              <w:rPr>
                <w:rFonts w:hint="eastAsia"/>
                <w:b/>
                <w:sz w:val="18"/>
                <w:szCs w:val="18"/>
              </w:rPr>
              <w:t>20</w:t>
            </w:r>
          </w:p>
        </w:tc>
        <w:tc>
          <w:tcPr>
            <w:tcW w:w="920" w:type="dxa"/>
            <w:vAlign w:val="center"/>
          </w:tcPr>
          <w:p w:rsidR="004214D3" w:rsidRDefault="00BA0265">
            <w:pPr>
              <w:jc w:val="center"/>
              <w:rPr>
                <w:b/>
                <w:sz w:val="18"/>
                <w:szCs w:val="18"/>
              </w:rPr>
            </w:pPr>
            <w:r>
              <w:rPr>
                <w:rFonts w:hint="eastAsia"/>
                <w:b/>
                <w:sz w:val="18"/>
                <w:szCs w:val="18"/>
              </w:rPr>
              <w:t>195</w:t>
            </w:r>
          </w:p>
        </w:tc>
        <w:tc>
          <w:tcPr>
            <w:tcW w:w="920" w:type="dxa"/>
            <w:vAlign w:val="center"/>
          </w:tcPr>
          <w:p w:rsidR="004214D3" w:rsidRDefault="00BA0265">
            <w:pPr>
              <w:jc w:val="center"/>
              <w:rPr>
                <w:b/>
                <w:sz w:val="18"/>
                <w:szCs w:val="18"/>
              </w:rPr>
            </w:pPr>
            <w:r>
              <w:rPr>
                <w:b/>
                <w:sz w:val="18"/>
                <w:szCs w:val="18"/>
              </w:rPr>
              <w:t>86</w:t>
            </w:r>
          </w:p>
        </w:tc>
        <w:tc>
          <w:tcPr>
            <w:tcW w:w="921" w:type="dxa"/>
            <w:vAlign w:val="center"/>
          </w:tcPr>
          <w:p w:rsidR="004214D3" w:rsidRDefault="00BA0265">
            <w:pPr>
              <w:jc w:val="center"/>
              <w:rPr>
                <w:b/>
                <w:sz w:val="18"/>
                <w:szCs w:val="18"/>
              </w:rPr>
            </w:pPr>
            <w:r>
              <w:rPr>
                <w:rFonts w:hint="eastAsia"/>
                <w:b/>
                <w:sz w:val="18"/>
                <w:szCs w:val="18"/>
              </w:rPr>
              <w:t>1</w:t>
            </w:r>
            <w:r>
              <w:rPr>
                <w:b/>
                <w:sz w:val="18"/>
                <w:szCs w:val="18"/>
              </w:rPr>
              <w:t>15</w:t>
            </w:r>
          </w:p>
        </w:tc>
        <w:tc>
          <w:tcPr>
            <w:tcW w:w="992" w:type="dxa"/>
            <w:vAlign w:val="center"/>
          </w:tcPr>
          <w:p w:rsidR="004214D3" w:rsidRDefault="00BA0265">
            <w:pPr>
              <w:jc w:val="center"/>
              <w:rPr>
                <w:b/>
                <w:sz w:val="18"/>
                <w:szCs w:val="18"/>
              </w:rPr>
            </w:pPr>
            <w:r>
              <w:rPr>
                <w:rFonts w:hint="eastAsia"/>
                <w:b/>
                <w:sz w:val="18"/>
                <w:szCs w:val="18"/>
              </w:rPr>
              <w:t>4.0</w:t>
            </w:r>
          </w:p>
        </w:tc>
        <w:tc>
          <w:tcPr>
            <w:tcW w:w="992" w:type="dxa"/>
            <w:vAlign w:val="center"/>
          </w:tcPr>
          <w:p w:rsidR="004214D3" w:rsidRDefault="00BA0265">
            <w:pPr>
              <w:jc w:val="center"/>
              <w:rPr>
                <w:b/>
                <w:sz w:val="18"/>
                <w:szCs w:val="18"/>
              </w:rPr>
            </w:pPr>
            <w:r>
              <w:rPr>
                <w:rFonts w:ascii="Times New Roman" w:hAnsi="Times New Roman" w:cs="Times New Roman"/>
                <w:b/>
                <w:sz w:val="18"/>
                <w:szCs w:val="18"/>
              </w:rPr>
              <w:t>≥</w:t>
            </w:r>
            <w:r>
              <w:rPr>
                <w:b/>
                <w:sz w:val="18"/>
                <w:szCs w:val="18"/>
              </w:rPr>
              <w:t>8</w:t>
            </w:r>
            <w:r>
              <w:rPr>
                <w:rFonts w:hint="eastAsia"/>
                <w:b/>
                <w:sz w:val="18"/>
                <w:szCs w:val="18"/>
              </w:rPr>
              <w:t>0</w:t>
            </w:r>
          </w:p>
        </w:tc>
      </w:tr>
      <w:tr w:rsidR="004214D3">
        <w:trPr>
          <w:jc w:val="center"/>
        </w:trPr>
        <w:tc>
          <w:tcPr>
            <w:tcW w:w="920" w:type="dxa"/>
            <w:vAlign w:val="center"/>
          </w:tcPr>
          <w:p w:rsidR="004214D3" w:rsidRDefault="00BA0265">
            <w:pPr>
              <w:jc w:val="center"/>
              <w:rPr>
                <w:b/>
                <w:sz w:val="18"/>
                <w:szCs w:val="18"/>
              </w:rPr>
            </w:pPr>
            <w:r>
              <w:rPr>
                <w:rFonts w:hint="eastAsia"/>
                <w:b/>
                <w:sz w:val="18"/>
                <w:szCs w:val="18"/>
              </w:rPr>
              <w:t>25</w:t>
            </w:r>
          </w:p>
        </w:tc>
        <w:tc>
          <w:tcPr>
            <w:tcW w:w="920" w:type="dxa"/>
            <w:vAlign w:val="center"/>
          </w:tcPr>
          <w:p w:rsidR="004214D3" w:rsidRDefault="00BA0265">
            <w:pPr>
              <w:jc w:val="center"/>
              <w:rPr>
                <w:b/>
                <w:sz w:val="18"/>
                <w:szCs w:val="18"/>
              </w:rPr>
            </w:pPr>
            <w:r>
              <w:rPr>
                <w:rFonts w:hint="eastAsia"/>
                <w:b/>
                <w:sz w:val="18"/>
                <w:szCs w:val="18"/>
              </w:rPr>
              <w:t>225</w:t>
            </w:r>
          </w:p>
        </w:tc>
        <w:tc>
          <w:tcPr>
            <w:tcW w:w="920" w:type="dxa"/>
            <w:vAlign w:val="center"/>
          </w:tcPr>
          <w:p w:rsidR="004214D3" w:rsidRDefault="00BA0265">
            <w:pPr>
              <w:jc w:val="center"/>
              <w:rPr>
                <w:b/>
                <w:sz w:val="18"/>
                <w:szCs w:val="18"/>
              </w:rPr>
            </w:pPr>
            <w:r>
              <w:rPr>
                <w:b/>
                <w:sz w:val="18"/>
                <w:szCs w:val="18"/>
              </w:rPr>
              <w:t>86</w:t>
            </w:r>
          </w:p>
        </w:tc>
        <w:tc>
          <w:tcPr>
            <w:tcW w:w="921" w:type="dxa"/>
            <w:vAlign w:val="center"/>
          </w:tcPr>
          <w:p w:rsidR="004214D3" w:rsidRDefault="00BA0265">
            <w:pPr>
              <w:jc w:val="center"/>
              <w:rPr>
                <w:b/>
                <w:sz w:val="18"/>
                <w:szCs w:val="18"/>
              </w:rPr>
            </w:pPr>
            <w:r>
              <w:rPr>
                <w:rFonts w:hint="eastAsia"/>
                <w:b/>
                <w:sz w:val="18"/>
                <w:szCs w:val="18"/>
              </w:rPr>
              <w:t>1</w:t>
            </w:r>
            <w:r>
              <w:rPr>
                <w:b/>
                <w:sz w:val="18"/>
                <w:szCs w:val="18"/>
              </w:rPr>
              <w:t>15</w:t>
            </w:r>
          </w:p>
        </w:tc>
        <w:tc>
          <w:tcPr>
            <w:tcW w:w="992" w:type="dxa"/>
            <w:vAlign w:val="center"/>
          </w:tcPr>
          <w:p w:rsidR="004214D3" w:rsidRDefault="00BA0265">
            <w:pPr>
              <w:jc w:val="center"/>
              <w:rPr>
                <w:b/>
                <w:sz w:val="18"/>
                <w:szCs w:val="18"/>
              </w:rPr>
            </w:pPr>
            <w:r>
              <w:rPr>
                <w:rFonts w:hint="eastAsia"/>
                <w:b/>
                <w:sz w:val="18"/>
                <w:szCs w:val="18"/>
              </w:rPr>
              <w:t>6.3</w:t>
            </w:r>
          </w:p>
        </w:tc>
        <w:tc>
          <w:tcPr>
            <w:tcW w:w="992" w:type="dxa"/>
            <w:vAlign w:val="center"/>
          </w:tcPr>
          <w:p w:rsidR="004214D3" w:rsidRDefault="00BA0265">
            <w:pPr>
              <w:jc w:val="center"/>
              <w:rPr>
                <w:b/>
                <w:sz w:val="18"/>
                <w:szCs w:val="18"/>
              </w:rPr>
            </w:pPr>
            <w:r>
              <w:rPr>
                <w:rFonts w:ascii="Times New Roman" w:hAnsi="Times New Roman" w:cs="Times New Roman"/>
                <w:b/>
                <w:sz w:val="18"/>
                <w:szCs w:val="18"/>
              </w:rPr>
              <w:t>≥</w:t>
            </w:r>
            <w:r>
              <w:rPr>
                <w:b/>
                <w:sz w:val="18"/>
                <w:szCs w:val="18"/>
              </w:rPr>
              <w:t>8</w:t>
            </w:r>
            <w:r>
              <w:rPr>
                <w:rFonts w:hint="eastAsia"/>
                <w:b/>
                <w:sz w:val="18"/>
                <w:szCs w:val="18"/>
              </w:rPr>
              <w:t>0</w:t>
            </w:r>
          </w:p>
        </w:tc>
      </w:tr>
    </w:tbl>
    <w:p w:rsidR="004214D3" w:rsidRDefault="004214D3">
      <w:pPr>
        <w:pStyle w:val="aa"/>
        <w:ind w:firstLineChars="0" w:firstLine="0"/>
        <w:outlineLvl w:val="0"/>
        <w:rPr>
          <w:rFonts w:ascii="Arial" w:eastAsia="幼圆" w:hAnsi="Arial" w:cs="Arial"/>
          <w:b/>
          <w:sz w:val="24"/>
          <w:szCs w:val="24"/>
        </w:rPr>
      </w:pPr>
    </w:p>
    <w:p w:rsidR="004214D3" w:rsidRDefault="00BA0265">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安装方法</w:t>
      </w:r>
    </w:p>
    <w:p w:rsidR="004214D3" w:rsidRDefault="00BA0265">
      <w:pPr>
        <w:pStyle w:val="aa"/>
        <w:numPr>
          <w:ilvl w:val="0"/>
          <w:numId w:val="4"/>
        </w:numPr>
        <w:ind w:firstLineChars="0"/>
        <w:rPr>
          <w:sz w:val="18"/>
          <w:szCs w:val="18"/>
        </w:rPr>
      </w:pPr>
      <w:r>
        <w:rPr>
          <w:rFonts w:hint="eastAsia"/>
          <w:sz w:val="18"/>
          <w:szCs w:val="18"/>
        </w:rPr>
        <w:t>水表口径应根据安装地点的管道直径及流量大小来选择适宜口径的水表，选择水表时应根据</w:t>
      </w:r>
      <w:r>
        <w:rPr>
          <w:rFonts w:hint="eastAsia"/>
          <w:sz w:val="18"/>
          <w:szCs w:val="18"/>
        </w:rPr>
        <w:lastRenderedPageBreak/>
        <w:t>管道经常使用的流量小于或接近水表的常用流量为宜，不能单纯以管道口径确定水表</w:t>
      </w:r>
    </w:p>
    <w:p w:rsidR="004214D3" w:rsidRDefault="00BA0265">
      <w:pPr>
        <w:pStyle w:val="aa"/>
        <w:numPr>
          <w:ilvl w:val="0"/>
          <w:numId w:val="4"/>
        </w:numPr>
        <w:ind w:firstLineChars="0"/>
        <w:outlineLvl w:val="1"/>
        <w:rPr>
          <w:rFonts w:ascii="Arial" w:eastAsia="幼圆" w:hAnsi="Arial" w:cs="Arial"/>
          <w:b/>
          <w:sz w:val="24"/>
          <w:szCs w:val="24"/>
        </w:rPr>
      </w:pPr>
      <w:r>
        <w:rPr>
          <w:rFonts w:hint="eastAsia"/>
          <w:sz w:val="18"/>
          <w:szCs w:val="18"/>
        </w:rPr>
        <w:t>安装前，</w:t>
      </w:r>
      <w:r>
        <w:rPr>
          <w:rFonts w:hint="eastAsia"/>
          <w:sz w:val="18"/>
          <w:szCs w:val="18"/>
        </w:rPr>
        <w:t>应先除去管道内的麻丝、沙石等杂物，以免造成水表</w:t>
      </w:r>
      <w:r>
        <w:rPr>
          <w:rFonts w:hint="eastAsia"/>
          <w:sz w:val="18"/>
          <w:szCs w:val="18"/>
        </w:rPr>
        <w:t>出现机械</w:t>
      </w:r>
      <w:r>
        <w:rPr>
          <w:rFonts w:hint="eastAsia"/>
          <w:sz w:val="18"/>
          <w:szCs w:val="18"/>
        </w:rPr>
        <w:t>故障</w:t>
      </w:r>
    </w:p>
    <w:p w:rsidR="004214D3" w:rsidRDefault="00BA0265">
      <w:pPr>
        <w:pStyle w:val="aa"/>
        <w:numPr>
          <w:ilvl w:val="0"/>
          <w:numId w:val="4"/>
        </w:numPr>
        <w:ind w:firstLineChars="0"/>
        <w:rPr>
          <w:rFonts w:ascii="Arial" w:eastAsia="幼圆" w:hAnsi="Arial" w:cs="Arial"/>
          <w:b/>
          <w:sz w:val="24"/>
          <w:szCs w:val="24"/>
        </w:rPr>
      </w:pPr>
      <w:r>
        <w:rPr>
          <w:rFonts w:hint="eastAsia"/>
          <w:sz w:val="18"/>
          <w:szCs w:val="18"/>
        </w:rPr>
        <w:t>水平安装，标度盘均应朝上，表壳上箭头方向必须与水流方向一致；安装位置应避免曝晒、水淹、冰冻和污染，方便拆装和抄表；在雨季、冬季应采取防雨防冻措施</w:t>
      </w:r>
    </w:p>
    <w:p w:rsidR="004214D3" w:rsidRDefault="00BA0265">
      <w:pPr>
        <w:pStyle w:val="aa"/>
        <w:numPr>
          <w:ilvl w:val="0"/>
          <w:numId w:val="4"/>
        </w:numPr>
        <w:ind w:firstLineChars="0"/>
        <w:outlineLvl w:val="1"/>
        <w:rPr>
          <w:rFonts w:ascii="Arial" w:eastAsia="幼圆" w:hAnsi="Arial" w:cs="Arial"/>
          <w:b/>
          <w:sz w:val="24"/>
          <w:szCs w:val="24"/>
        </w:rPr>
      </w:pPr>
      <w:r>
        <w:rPr>
          <w:rFonts w:hint="eastAsia"/>
          <w:sz w:val="18"/>
          <w:szCs w:val="18"/>
        </w:rPr>
        <w:t>水表前面应装有阀门，以便切断水源拆装水表</w:t>
      </w:r>
    </w:p>
    <w:p w:rsidR="004214D3" w:rsidRDefault="00BA0265">
      <w:pPr>
        <w:pStyle w:val="aa"/>
        <w:numPr>
          <w:ilvl w:val="0"/>
          <w:numId w:val="4"/>
        </w:numPr>
        <w:ind w:firstLineChars="0"/>
        <w:rPr>
          <w:rFonts w:ascii="Arial" w:eastAsia="幼圆" w:hAnsi="Arial" w:cs="Arial"/>
          <w:b/>
          <w:sz w:val="24"/>
          <w:szCs w:val="24"/>
        </w:rPr>
      </w:pPr>
      <w:r>
        <w:rPr>
          <w:rFonts w:hint="eastAsia"/>
          <w:sz w:val="18"/>
          <w:szCs w:val="18"/>
        </w:rPr>
        <w:t>装在环状配水管网或锅炉进水端时，须安装水表专用逆止阀，以防止水表倒转和热水回流烫坏水表</w:t>
      </w:r>
    </w:p>
    <w:p w:rsidR="004214D3" w:rsidRDefault="00BA0265">
      <w:pPr>
        <w:pStyle w:val="aa"/>
        <w:numPr>
          <w:ilvl w:val="0"/>
          <w:numId w:val="4"/>
        </w:numPr>
        <w:ind w:firstLineChars="0"/>
        <w:rPr>
          <w:rFonts w:ascii="Arial" w:eastAsia="幼圆" w:hAnsi="Arial" w:cs="Arial"/>
          <w:b/>
          <w:sz w:val="24"/>
          <w:szCs w:val="24"/>
        </w:rPr>
      </w:pPr>
      <w:r>
        <w:rPr>
          <w:rFonts w:hint="eastAsia"/>
          <w:sz w:val="18"/>
          <w:szCs w:val="18"/>
        </w:rPr>
        <w:t>为保证水表计量准确，直接与水表连接的直管段长度（不含阀门等管件）表前应不少于</w:t>
      </w:r>
      <w:r>
        <w:rPr>
          <w:rFonts w:hint="eastAsia"/>
          <w:sz w:val="18"/>
          <w:szCs w:val="18"/>
        </w:rPr>
        <w:t>10</w:t>
      </w:r>
      <w:r>
        <w:rPr>
          <w:rFonts w:hint="eastAsia"/>
          <w:sz w:val="18"/>
          <w:szCs w:val="18"/>
        </w:rPr>
        <w:t>倍水表标称口径，表后应不少于</w:t>
      </w:r>
      <w:r>
        <w:rPr>
          <w:rFonts w:hint="eastAsia"/>
          <w:sz w:val="18"/>
          <w:szCs w:val="18"/>
        </w:rPr>
        <w:t>5</w:t>
      </w:r>
      <w:r>
        <w:rPr>
          <w:rFonts w:hint="eastAsia"/>
          <w:sz w:val="18"/>
          <w:szCs w:val="18"/>
        </w:rPr>
        <w:t>倍水表标称口径</w:t>
      </w:r>
    </w:p>
    <w:p w:rsidR="004214D3" w:rsidRPr="004867E0" w:rsidRDefault="004867E0" w:rsidP="004867E0">
      <w:pPr>
        <w:pStyle w:val="1"/>
        <w:numPr>
          <w:ilvl w:val="0"/>
          <w:numId w:val="4"/>
        </w:numPr>
        <w:spacing w:line="240" w:lineRule="atLeast"/>
        <w:ind w:firstLineChars="0"/>
        <w:contextualSpacing/>
        <w:rPr>
          <w:sz w:val="20"/>
        </w:rPr>
      </w:pPr>
      <w:r w:rsidRPr="00722D30">
        <w:rPr>
          <w:rFonts w:hint="eastAsia"/>
          <w:sz w:val="20"/>
        </w:rPr>
        <w:t>水表在井下安装时，需保证为特定防水水表，且应在距井底</w:t>
      </w:r>
      <w:r w:rsidRPr="00722D30">
        <w:rPr>
          <w:rFonts w:hint="eastAsia"/>
          <w:sz w:val="20"/>
        </w:rPr>
        <w:t>20</w:t>
      </w:r>
      <w:r w:rsidRPr="00722D30">
        <w:rPr>
          <w:rFonts w:hint="eastAsia"/>
          <w:sz w:val="20"/>
        </w:rPr>
        <w:t>公分以上位置安装。</w:t>
      </w:r>
    </w:p>
    <w:p w:rsidR="004214D3" w:rsidRDefault="00BA0265">
      <w:pPr>
        <w:pStyle w:val="aa"/>
        <w:numPr>
          <w:ilvl w:val="0"/>
          <w:numId w:val="1"/>
        </w:numPr>
        <w:ind w:firstLineChars="0"/>
        <w:outlineLvl w:val="0"/>
        <w:rPr>
          <w:rFonts w:ascii="Arial" w:eastAsia="幼圆" w:hAnsi="Arial" w:cs="Arial"/>
          <w:b/>
          <w:sz w:val="24"/>
          <w:szCs w:val="24"/>
        </w:rPr>
      </w:pPr>
      <w:r>
        <w:rPr>
          <w:rFonts w:ascii="Arial" w:eastAsia="幼圆" w:hAnsi="Arial" w:cs="Arial" w:hint="eastAsia"/>
          <w:b/>
          <w:sz w:val="24"/>
          <w:szCs w:val="24"/>
        </w:rPr>
        <w:t>使用方法</w:t>
      </w:r>
    </w:p>
    <w:p w:rsidR="004214D3" w:rsidRDefault="00BA0265">
      <w:pPr>
        <w:pStyle w:val="aa"/>
        <w:numPr>
          <w:ilvl w:val="3"/>
          <w:numId w:val="1"/>
        </w:numPr>
        <w:ind w:left="426" w:firstLineChars="0"/>
        <w:outlineLvl w:val="1"/>
        <w:rPr>
          <w:sz w:val="18"/>
          <w:szCs w:val="18"/>
        </w:rPr>
      </w:pPr>
      <w:r>
        <w:rPr>
          <w:rFonts w:hint="eastAsia"/>
          <w:sz w:val="18"/>
          <w:szCs w:val="18"/>
        </w:rPr>
        <w:t>购水充值</w:t>
      </w:r>
    </w:p>
    <w:p w:rsidR="004214D3" w:rsidRDefault="00BA0265">
      <w:pPr>
        <w:ind w:left="426"/>
        <w:rPr>
          <w:sz w:val="18"/>
          <w:szCs w:val="18"/>
        </w:rPr>
      </w:pPr>
      <w:r>
        <w:rPr>
          <w:rFonts w:hint="eastAsia"/>
          <w:sz w:val="18"/>
          <w:szCs w:val="18"/>
        </w:rPr>
        <w:t>用户使用手机</w:t>
      </w:r>
      <w:r>
        <w:rPr>
          <w:rFonts w:hint="eastAsia"/>
          <w:sz w:val="18"/>
          <w:szCs w:val="18"/>
        </w:rPr>
        <w:t>A</w:t>
      </w:r>
      <w:r>
        <w:rPr>
          <w:sz w:val="18"/>
          <w:szCs w:val="18"/>
        </w:rPr>
        <w:t>PP</w:t>
      </w:r>
      <w:r>
        <w:rPr>
          <w:rFonts w:hint="eastAsia"/>
          <w:sz w:val="18"/>
          <w:szCs w:val="18"/>
        </w:rPr>
        <w:t>扫描表上二维码，在</w:t>
      </w:r>
      <w:r>
        <w:rPr>
          <w:rFonts w:hint="eastAsia"/>
          <w:sz w:val="18"/>
          <w:szCs w:val="18"/>
        </w:rPr>
        <w:t>A</w:t>
      </w:r>
      <w:r>
        <w:rPr>
          <w:sz w:val="18"/>
          <w:szCs w:val="18"/>
        </w:rPr>
        <w:t>PP</w:t>
      </w:r>
      <w:r>
        <w:rPr>
          <w:rFonts w:hint="eastAsia"/>
          <w:sz w:val="18"/>
          <w:szCs w:val="18"/>
        </w:rPr>
        <w:t>的水表界面发送充值命令，充值后同步设备时将剩余金额及相关信息刷线在</w:t>
      </w:r>
      <w:r>
        <w:rPr>
          <w:rFonts w:hint="eastAsia"/>
          <w:sz w:val="18"/>
          <w:szCs w:val="18"/>
        </w:rPr>
        <w:t>A</w:t>
      </w:r>
      <w:r>
        <w:rPr>
          <w:sz w:val="18"/>
          <w:szCs w:val="18"/>
        </w:rPr>
        <w:t>PP</w:t>
      </w:r>
      <w:r>
        <w:rPr>
          <w:rFonts w:hint="eastAsia"/>
          <w:sz w:val="18"/>
          <w:szCs w:val="18"/>
        </w:rPr>
        <w:t>界面显示</w:t>
      </w:r>
    </w:p>
    <w:p w:rsidR="004214D3" w:rsidRDefault="00BA0265">
      <w:pPr>
        <w:pStyle w:val="aa"/>
        <w:numPr>
          <w:ilvl w:val="3"/>
          <w:numId w:val="1"/>
        </w:numPr>
        <w:ind w:left="426" w:firstLineChars="0"/>
        <w:outlineLvl w:val="1"/>
        <w:rPr>
          <w:sz w:val="18"/>
          <w:szCs w:val="18"/>
        </w:rPr>
      </w:pPr>
      <w:r>
        <w:rPr>
          <w:rFonts w:hint="eastAsia"/>
          <w:sz w:val="18"/>
          <w:szCs w:val="18"/>
        </w:rPr>
        <w:t>查询</w:t>
      </w:r>
    </w:p>
    <w:p w:rsidR="004214D3" w:rsidRDefault="00BA0265">
      <w:pPr>
        <w:ind w:left="426"/>
        <w:rPr>
          <w:sz w:val="18"/>
          <w:szCs w:val="18"/>
        </w:rPr>
      </w:pPr>
      <w:r>
        <w:rPr>
          <w:rFonts w:hint="eastAsia"/>
          <w:sz w:val="18"/>
          <w:szCs w:val="18"/>
        </w:rPr>
        <w:t>使用手机</w:t>
      </w:r>
      <w:r>
        <w:rPr>
          <w:rFonts w:hint="eastAsia"/>
          <w:sz w:val="18"/>
          <w:szCs w:val="18"/>
        </w:rPr>
        <w:t>A</w:t>
      </w:r>
      <w:r>
        <w:rPr>
          <w:sz w:val="18"/>
          <w:szCs w:val="18"/>
        </w:rPr>
        <w:t>PP</w:t>
      </w:r>
      <w:r>
        <w:rPr>
          <w:rFonts w:hint="eastAsia"/>
          <w:sz w:val="18"/>
          <w:szCs w:val="18"/>
        </w:rPr>
        <w:t>发送查询</w:t>
      </w:r>
      <w:r>
        <w:rPr>
          <w:sz w:val="18"/>
          <w:szCs w:val="18"/>
        </w:rPr>
        <w:t>命令可将用户信息及</w:t>
      </w:r>
      <w:proofErr w:type="gramStart"/>
      <w:r>
        <w:rPr>
          <w:sz w:val="18"/>
          <w:szCs w:val="18"/>
        </w:rPr>
        <w:t>表具相关</w:t>
      </w:r>
      <w:proofErr w:type="gramEnd"/>
      <w:r>
        <w:rPr>
          <w:rFonts w:hint="eastAsia"/>
          <w:sz w:val="18"/>
          <w:szCs w:val="18"/>
        </w:rPr>
        <w:t>信息</w:t>
      </w:r>
      <w:r>
        <w:rPr>
          <w:sz w:val="18"/>
          <w:szCs w:val="18"/>
        </w:rPr>
        <w:t>返回，并</w:t>
      </w:r>
      <w:r>
        <w:rPr>
          <w:rFonts w:hint="eastAsia"/>
          <w:sz w:val="18"/>
          <w:szCs w:val="18"/>
        </w:rPr>
        <w:t>在</w:t>
      </w:r>
      <w:r>
        <w:rPr>
          <w:rFonts w:hint="eastAsia"/>
          <w:sz w:val="18"/>
          <w:szCs w:val="18"/>
        </w:rPr>
        <w:t>APP</w:t>
      </w:r>
      <w:r>
        <w:rPr>
          <w:rFonts w:hint="eastAsia"/>
          <w:sz w:val="18"/>
          <w:szCs w:val="18"/>
        </w:rPr>
        <w:t>中</w:t>
      </w:r>
      <w:r>
        <w:rPr>
          <w:sz w:val="18"/>
          <w:szCs w:val="18"/>
        </w:rPr>
        <w:t>显示</w:t>
      </w:r>
    </w:p>
    <w:p w:rsidR="004214D3" w:rsidRDefault="00BA0265">
      <w:pPr>
        <w:pStyle w:val="aa"/>
        <w:numPr>
          <w:ilvl w:val="3"/>
          <w:numId w:val="1"/>
        </w:numPr>
        <w:ind w:left="426" w:firstLineChars="0"/>
        <w:outlineLvl w:val="1"/>
        <w:rPr>
          <w:sz w:val="18"/>
          <w:szCs w:val="18"/>
        </w:rPr>
      </w:pPr>
      <w:r>
        <w:rPr>
          <w:rFonts w:hint="eastAsia"/>
          <w:sz w:val="18"/>
          <w:szCs w:val="18"/>
        </w:rPr>
        <w:t>余额报警</w:t>
      </w:r>
    </w:p>
    <w:p w:rsidR="004214D3" w:rsidRDefault="00BA0265">
      <w:pPr>
        <w:ind w:left="426"/>
        <w:rPr>
          <w:sz w:val="18"/>
          <w:szCs w:val="18"/>
        </w:rPr>
      </w:pPr>
      <w:r>
        <w:rPr>
          <w:rFonts w:hint="eastAsia"/>
          <w:sz w:val="18"/>
          <w:szCs w:val="18"/>
        </w:rPr>
        <w:t>当剩余金额小于等于关阀报警金额时，将关闭阀门提示用户充值。</w:t>
      </w:r>
      <w:r>
        <w:rPr>
          <w:rFonts w:hint="eastAsia"/>
          <w:sz w:val="18"/>
          <w:szCs w:val="18"/>
        </w:rPr>
        <w:t>A</w:t>
      </w:r>
      <w:r>
        <w:rPr>
          <w:sz w:val="18"/>
          <w:szCs w:val="18"/>
        </w:rPr>
        <w:t>PP</w:t>
      </w:r>
      <w:r>
        <w:rPr>
          <w:rFonts w:hint="eastAsia"/>
          <w:sz w:val="18"/>
          <w:szCs w:val="18"/>
        </w:rPr>
        <w:t>与水表</w:t>
      </w:r>
      <w:r>
        <w:rPr>
          <w:sz w:val="18"/>
          <w:szCs w:val="18"/>
        </w:rPr>
        <w:t>同步</w:t>
      </w:r>
      <w:r>
        <w:rPr>
          <w:rFonts w:hint="eastAsia"/>
          <w:sz w:val="18"/>
          <w:szCs w:val="18"/>
        </w:rPr>
        <w:t>后可开启阀门，并提示用户及时缴费</w:t>
      </w:r>
    </w:p>
    <w:p w:rsidR="004214D3" w:rsidRDefault="00BA0265">
      <w:pPr>
        <w:pStyle w:val="aa"/>
        <w:numPr>
          <w:ilvl w:val="3"/>
          <w:numId w:val="1"/>
        </w:numPr>
        <w:ind w:left="426" w:firstLineChars="0"/>
        <w:outlineLvl w:val="1"/>
        <w:rPr>
          <w:sz w:val="18"/>
          <w:szCs w:val="18"/>
        </w:rPr>
      </w:pPr>
      <w:r>
        <w:rPr>
          <w:rFonts w:hint="eastAsia"/>
          <w:sz w:val="18"/>
          <w:szCs w:val="18"/>
        </w:rPr>
        <w:t>关阀缴费</w:t>
      </w:r>
    </w:p>
    <w:p w:rsidR="004214D3" w:rsidRDefault="00BA0265">
      <w:pPr>
        <w:pStyle w:val="a6"/>
        <w:ind w:left="360"/>
        <w:rPr>
          <w:rFonts w:ascii="宋体" w:eastAsia="宋体" w:hAnsi="宋体" w:cs="宋体"/>
          <w:sz w:val="18"/>
          <w:szCs w:val="18"/>
          <w:lang w:bidi="ar"/>
        </w:rPr>
      </w:pPr>
      <w:r>
        <w:rPr>
          <w:rFonts w:hint="eastAsia"/>
          <w:sz w:val="18"/>
          <w:szCs w:val="18"/>
        </w:rPr>
        <w:t>水表因剩余金额小于</w:t>
      </w:r>
      <w:r>
        <w:rPr>
          <w:sz w:val="18"/>
          <w:szCs w:val="18"/>
        </w:rPr>
        <w:t>或等于关阀报警</w:t>
      </w:r>
      <w:r>
        <w:rPr>
          <w:rFonts w:hint="eastAsia"/>
          <w:sz w:val="18"/>
          <w:szCs w:val="18"/>
        </w:rPr>
        <w:t>金额而</w:t>
      </w:r>
      <w:r>
        <w:rPr>
          <w:sz w:val="18"/>
          <w:szCs w:val="18"/>
        </w:rPr>
        <w:t>关阀</w:t>
      </w:r>
      <w:r>
        <w:rPr>
          <w:rFonts w:hint="eastAsia"/>
          <w:sz w:val="18"/>
          <w:szCs w:val="18"/>
        </w:rPr>
        <w:t>时，通过</w:t>
      </w:r>
      <w:r>
        <w:rPr>
          <w:rFonts w:hint="eastAsia"/>
          <w:sz w:val="18"/>
          <w:szCs w:val="18"/>
        </w:rPr>
        <w:t>A</w:t>
      </w:r>
      <w:r>
        <w:rPr>
          <w:sz w:val="18"/>
          <w:szCs w:val="18"/>
        </w:rPr>
        <w:t>PP</w:t>
      </w:r>
      <w:r>
        <w:rPr>
          <w:rFonts w:hint="eastAsia"/>
          <w:sz w:val="18"/>
          <w:szCs w:val="18"/>
        </w:rPr>
        <w:t>的设备同步</w:t>
      </w:r>
      <w:proofErr w:type="gramStart"/>
      <w:r>
        <w:rPr>
          <w:rFonts w:hint="eastAsia"/>
          <w:sz w:val="18"/>
          <w:szCs w:val="18"/>
        </w:rPr>
        <w:t>发送蓝牙指令</w:t>
      </w:r>
      <w:proofErr w:type="gramEnd"/>
      <w:r>
        <w:rPr>
          <w:rFonts w:hint="eastAsia"/>
          <w:sz w:val="18"/>
          <w:szCs w:val="18"/>
        </w:rPr>
        <w:t>，水</w:t>
      </w:r>
      <w:r>
        <w:rPr>
          <w:rFonts w:ascii="宋体" w:eastAsia="宋体" w:hAnsi="宋体" w:cs="宋体" w:hint="eastAsia"/>
          <w:sz w:val="18"/>
          <w:szCs w:val="18"/>
          <w:lang w:bidi="ar"/>
        </w:rPr>
        <w:t>表可恢复用水并提示用户进行充值缴费</w:t>
      </w:r>
    </w:p>
    <w:p w:rsidR="004214D3" w:rsidRDefault="004214D3">
      <w:pPr>
        <w:pStyle w:val="a6"/>
        <w:ind w:left="360"/>
        <w:rPr>
          <w:rFonts w:ascii="宋体" w:eastAsia="宋体" w:hAnsi="宋体" w:cs="宋体"/>
          <w:sz w:val="18"/>
          <w:szCs w:val="18"/>
          <w:lang w:bidi="ar"/>
        </w:rPr>
      </w:pPr>
    </w:p>
    <w:p w:rsidR="004214D3" w:rsidRDefault="00BA0265">
      <w:pPr>
        <w:outlineLvl w:val="0"/>
        <w:rPr>
          <w:rFonts w:ascii="Arial" w:eastAsia="幼圆" w:hAnsi="Arial" w:cs="Arial"/>
          <w:b/>
          <w:sz w:val="24"/>
          <w:szCs w:val="24"/>
        </w:rPr>
      </w:pPr>
      <w:r>
        <w:rPr>
          <w:rFonts w:ascii="幼圆" w:eastAsia="幼圆" w:hAnsi="幼圆" w:cs="幼圆" w:hint="eastAsia"/>
          <w:b/>
          <w:sz w:val="24"/>
          <w:szCs w:val="24"/>
          <w:lang w:bidi="ar"/>
        </w:rPr>
        <w:t>八</w:t>
      </w:r>
      <w:r>
        <w:rPr>
          <w:rFonts w:ascii="Arial" w:eastAsia="幼圆" w:hAnsi="Arial" w:cs="Arial"/>
          <w:b/>
          <w:sz w:val="24"/>
          <w:szCs w:val="24"/>
          <w:lang w:bidi="ar"/>
        </w:rPr>
        <w:t>.</w:t>
      </w:r>
      <w:r>
        <w:rPr>
          <w:rFonts w:ascii="幼圆" w:eastAsia="幼圆" w:hAnsi="幼圆" w:cs="幼圆" w:hint="eastAsia"/>
          <w:b/>
          <w:sz w:val="24"/>
          <w:szCs w:val="24"/>
          <w:lang w:bidi="ar"/>
        </w:rPr>
        <w:t>注意事项</w:t>
      </w:r>
    </w:p>
    <w:p w:rsidR="004214D3" w:rsidRDefault="00BA0265">
      <w:pPr>
        <w:pStyle w:val="a6"/>
        <w:numPr>
          <w:ilvl w:val="0"/>
          <w:numId w:val="5"/>
        </w:numPr>
        <w:rPr>
          <w:rFonts w:ascii="Calibri" w:eastAsia="宋体" w:hAnsi="Calibri" w:cs="Times New Roman"/>
          <w:sz w:val="18"/>
          <w:szCs w:val="18"/>
        </w:rPr>
      </w:pPr>
      <w:r>
        <w:rPr>
          <w:rFonts w:ascii="宋体" w:eastAsia="宋体" w:hAnsi="宋体" w:cs="宋体" w:hint="eastAsia"/>
          <w:sz w:val="18"/>
          <w:szCs w:val="18"/>
          <w:lang w:bidi="ar"/>
        </w:rPr>
        <w:t>不能用于标称压力大于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的管道中；采用二次加压供水的高层建筑，当标称压力大于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时，应采用高压水表</w:t>
      </w:r>
    </w:p>
    <w:p w:rsidR="004214D3" w:rsidRDefault="00BA0265">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使用时表玻璃下面有水或气泡属正常现象；由于水锤影响，不用水时指针有微小窜动亦属正常</w:t>
      </w:r>
    </w:p>
    <w:p w:rsidR="004214D3" w:rsidRDefault="00BA0265">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使用期间</w:t>
      </w:r>
      <w:proofErr w:type="gramStart"/>
      <w:r>
        <w:rPr>
          <w:rFonts w:ascii="宋体" w:eastAsia="宋体" w:hAnsi="宋体" w:cs="宋体" w:hint="eastAsia"/>
          <w:sz w:val="18"/>
          <w:szCs w:val="18"/>
          <w:lang w:bidi="ar"/>
        </w:rPr>
        <w:t>会因滤水网</w:t>
      </w:r>
      <w:proofErr w:type="gramEnd"/>
      <w:r>
        <w:rPr>
          <w:rFonts w:ascii="宋体" w:eastAsia="宋体" w:hAnsi="宋体" w:cs="宋体" w:hint="eastAsia"/>
          <w:sz w:val="18"/>
          <w:szCs w:val="18"/>
          <w:lang w:bidi="ar"/>
        </w:rPr>
        <w:t>堵塞、零件磨损等原因引起误差增大或停走，出现上述情况，用户应将水表送交有关部门进行检修</w:t>
      </w:r>
    </w:p>
    <w:p w:rsidR="004214D3" w:rsidRDefault="00BA0265">
      <w:pPr>
        <w:pStyle w:val="a6"/>
        <w:numPr>
          <w:ilvl w:val="0"/>
          <w:numId w:val="6"/>
        </w:numPr>
        <w:outlineLvl w:val="1"/>
        <w:rPr>
          <w:rFonts w:ascii="Calibri" w:eastAsia="宋体" w:hAnsi="Calibri" w:cs="Times New Roman"/>
          <w:sz w:val="18"/>
          <w:szCs w:val="18"/>
        </w:rPr>
      </w:pPr>
      <w:r>
        <w:rPr>
          <w:rFonts w:ascii="宋体" w:eastAsia="宋体" w:hAnsi="宋体" w:cs="宋体" w:hint="eastAsia"/>
          <w:sz w:val="18"/>
          <w:szCs w:val="18"/>
          <w:lang w:bidi="ar"/>
        </w:rPr>
        <w:t>水表应安装在远离水泵、电机、等强磁场的环境</w:t>
      </w:r>
    </w:p>
    <w:p w:rsidR="004214D3" w:rsidRDefault="00BA0265">
      <w:pPr>
        <w:pStyle w:val="a6"/>
        <w:numPr>
          <w:ilvl w:val="0"/>
          <w:numId w:val="6"/>
        </w:numPr>
        <w:rPr>
          <w:rFonts w:ascii="Calibri" w:eastAsia="宋体" w:hAnsi="Calibri" w:cs="Times New Roman"/>
          <w:sz w:val="18"/>
          <w:szCs w:val="18"/>
        </w:rPr>
      </w:pPr>
      <w:r>
        <w:rPr>
          <w:rFonts w:ascii="宋体" w:eastAsia="宋体" w:hAnsi="宋体" w:cs="宋体" w:hint="eastAsia"/>
          <w:sz w:val="18"/>
          <w:szCs w:val="18"/>
          <w:lang w:bidi="ar"/>
        </w:rPr>
        <w:t>水表安装时面板应朝上或左右倾斜不超过</w:t>
      </w:r>
      <w:r>
        <w:rPr>
          <w:rFonts w:ascii="Calibri" w:eastAsia="宋体" w:hAnsi="Calibri" w:cs="Calibri"/>
          <w:sz w:val="18"/>
          <w:szCs w:val="18"/>
          <w:lang w:bidi="ar"/>
        </w:rPr>
        <w:t>30</w:t>
      </w:r>
      <w:r>
        <w:rPr>
          <w:rFonts w:ascii="宋体" w:eastAsia="宋体" w:hAnsi="宋体" w:cs="宋体" w:hint="eastAsia"/>
          <w:sz w:val="18"/>
          <w:szCs w:val="18"/>
          <w:lang w:bidi="ar"/>
        </w:rPr>
        <w:t>度，以免影响通讯效果和水表寿命</w:t>
      </w:r>
    </w:p>
    <w:p w:rsidR="004214D3" w:rsidRDefault="00BA0265">
      <w:pPr>
        <w:pStyle w:val="a6"/>
        <w:numPr>
          <w:ilvl w:val="0"/>
          <w:numId w:val="6"/>
        </w:numPr>
        <w:rPr>
          <w:rFonts w:ascii="Calibri" w:eastAsia="宋体" w:hAnsi="Calibri" w:cs="Times New Roman"/>
          <w:sz w:val="18"/>
          <w:szCs w:val="18"/>
        </w:rPr>
      </w:pPr>
      <w:r>
        <w:rPr>
          <w:rFonts w:ascii="宋体" w:eastAsia="宋体" w:hAnsi="宋体" w:cs="宋体" w:hint="eastAsia"/>
          <w:sz w:val="18"/>
          <w:szCs w:val="18"/>
          <w:lang w:bidi="ar"/>
        </w:rPr>
        <w:t>水表不应安装在全金属封闭的空间内，防止无线信号屏蔽导致通讯失败</w:t>
      </w:r>
    </w:p>
    <w:p w:rsidR="004214D3" w:rsidRDefault="00BA0265">
      <w:pPr>
        <w:outlineLvl w:val="0"/>
        <w:rPr>
          <w:rFonts w:ascii="幼圆" w:eastAsia="幼圆" w:hAnsi="幼圆" w:cs="幼圆"/>
          <w:b/>
          <w:sz w:val="24"/>
          <w:szCs w:val="24"/>
          <w:lang w:bidi="ar"/>
        </w:rPr>
      </w:pPr>
      <w:r>
        <w:rPr>
          <w:rFonts w:ascii="幼圆" w:eastAsia="幼圆" w:hAnsi="幼圆" w:cs="幼圆" w:hint="eastAsia"/>
          <w:b/>
          <w:sz w:val="24"/>
          <w:szCs w:val="24"/>
          <w:lang w:bidi="ar"/>
        </w:rPr>
        <w:lastRenderedPageBreak/>
        <w:t>九</w:t>
      </w:r>
      <w:r>
        <w:rPr>
          <w:rFonts w:ascii="幼圆" w:eastAsia="幼圆" w:hAnsi="幼圆" w:cs="幼圆"/>
          <w:b/>
          <w:sz w:val="24"/>
          <w:szCs w:val="24"/>
          <w:lang w:bidi="ar"/>
        </w:rPr>
        <w:t>、产品质保条件</w:t>
      </w:r>
    </w:p>
    <w:p w:rsidR="004214D3" w:rsidRDefault="00BA0265">
      <w:pPr>
        <w:pStyle w:val="a6"/>
        <w:rPr>
          <w:rFonts w:ascii="Calibri" w:eastAsia="宋体" w:hAnsi="Calibri" w:cs="Times New Roman"/>
          <w:sz w:val="18"/>
          <w:szCs w:val="18"/>
        </w:rPr>
      </w:pPr>
      <w:r>
        <w:rPr>
          <w:rFonts w:ascii="Calibri" w:eastAsia="宋体" w:hAnsi="Calibri" w:cs="Times New Roman"/>
          <w:b/>
          <w:bCs/>
          <w:sz w:val="18"/>
          <w:szCs w:val="18"/>
        </w:rPr>
        <w:t>水表使用遵循以下行业、国家标准和检定规程：</w:t>
      </w:r>
    </w:p>
    <w:p w:rsidR="004214D3" w:rsidRDefault="00BA0265">
      <w:pPr>
        <w:pStyle w:val="a6"/>
        <w:rPr>
          <w:rFonts w:ascii="Calibri" w:eastAsia="宋体" w:hAnsi="Calibri" w:cs="Times New Roman"/>
          <w:sz w:val="18"/>
          <w:szCs w:val="18"/>
        </w:rPr>
      </w:pPr>
      <w:r>
        <w:rPr>
          <w:rFonts w:ascii="Calibri" w:eastAsia="宋体" w:hAnsi="Calibri" w:cs="Times New Roman"/>
          <w:b/>
          <w:bCs/>
          <w:sz w:val="18"/>
          <w:szCs w:val="18"/>
        </w:rPr>
        <w:t>水表相关行业标准：</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IC</w:t>
      </w:r>
      <w:r>
        <w:rPr>
          <w:rFonts w:ascii="Calibri" w:eastAsia="宋体" w:hAnsi="Calibri" w:cs="Times New Roman"/>
          <w:sz w:val="18"/>
          <w:szCs w:val="18"/>
        </w:rPr>
        <w:t>卡水表</w:t>
      </w:r>
      <w:r>
        <w:rPr>
          <w:rFonts w:ascii="Calibri" w:eastAsia="宋体" w:hAnsi="Calibri" w:cs="Times New Roman"/>
          <w:sz w:val="18"/>
          <w:szCs w:val="18"/>
        </w:rPr>
        <w:t>CJ/T 133-2012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电子远传水表</w:t>
      </w:r>
      <w:r>
        <w:rPr>
          <w:rFonts w:ascii="Calibri" w:eastAsia="宋体" w:hAnsi="Calibri" w:cs="Times New Roman"/>
          <w:sz w:val="18"/>
          <w:szCs w:val="18"/>
        </w:rPr>
        <w:t>CJ/T 224-2012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超声波水表</w:t>
      </w:r>
      <w:r>
        <w:rPr>
          <w:rFonts w:ascii="Calibri" w:eastAsia="宋体" w:hAnsi="Calibri" w:cs="Times New Roman"/>
          <w:sz w:val="18"/>
          <w:szCs w:val="18"/>
        </w:rPr>
        <w:t xml:space="preserve">CJ/T </w:t>
      </w:r>
      <w:r>
        <w:rPr>
          <w:rFonts w:ascii="Calibri" w:eastAsia="宋体" w:hAnsi="Calibri" w:cs="Times New Roman"/>
          <w:sz w:val="18"/>
          <w:szCs w:val="18"/>
        </w:rPr>
        <w:t>434-2013</w:t>
      </w:r>
      <w:r>
        <w:rPr>
          <w:rFonts w:ascii="Calibri" w:eastAsia="宋体" w:hAnsi="Calibri" w:cs="Times New Roman"/>
          <w:sz w:val="18"/>
          <w:szCs w:val="18"/>
        </w:rPr>
        <w:t>《超声波水表》</w:t>
      </w:r>
    </w:p>
    <w:p w:rsidR="004214D3" w:rsidRDefault="00BA0265">
      <w:pPr>
        <w:pStyle w:val="a6"/>
        <w:rPr>
          <w:rFonts w:ascii="Calibri" w:eastAsia="宋体" w:hAnsi="Calibri" w:cs="Times New Roman"/>
          <w:b/>
          <w:bCs/>
          <w:sz w:val="18"/>
          <w:szCs w:val="18"/>
        </w:rPr>
      </w:pPr>
      <w:r>
        <w:rPr>
          <w:rFonts w:ascii="Calibri" w:eastAsia="宋体" w:hAnsi="Calibri" w:cs="Times New Roman"/>
          <w:b/>
          <w:bCs/>
          <w:sz w:val="18"/>
          <w:szCs w:val="18"/>
        </w:rPr>
        <w:t>水表国家标准及检定规程：</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GB/T778-2018</w:t>
      </w:r>
      <w:r>
        <w:rPr>
          <w:rFonts w:ascii="Calibri" w:eastAsia="宋体" w:hAnsi="Calibri" w:cs="Times New Roman"/>
          <w:sz w:val="18"/>
          <w:szCs w:val="18"/>
        </w:rPr>
        <w:t>《饮用冷水水表和热水水表》</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JJG162-2019</w:t>
      </w:r>
      <w:r>
        <w:rPr>
          <w:rFonts w:ascii="Calibri" w:eastAsia="宋体" w:hAnsi="Calibri" w:cs="Times New Roman"/>
          <w:sz w:val="18"/>
          <w:szCs w:val="18"/>
        </w:rPr>
        <w:t>《饮用冷水水表》</w:t>
      </w:r>
    </w:p>
    <w:p w:rsidR="004214D3" w:rsidRDefault="004214D3">
      <w:pPr>
        <w:pStyle w:val="a6"/>
        <w:rPr>
          <w:rFonts w:ascii="Calibri" w:eastAsia="宋体" w:hAnsi="Calibri" w:cs="Times New Roman"/>
          <w:sz w:val="18"/>
          <w:szCs w:val="18"/>
        </w:rPr>
      </w:pP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以下使用条件，造成的损坏，不在质</w:t>
      </w:r>
      <w:proofErr w:type="gramStart"/>
      <w:r>
        <w:rPr>
          <w:rFonts w:ascii="Calibri" w:eastAsia="宋体" w:hAnsi="Calibri" w:cs="Times New Roman"/>
          <w:sz w:val="18"/>
          <w:szCs w:val="18"/>
        </w:rPr>
        <w:t>保范围</w:t>
      </w:r>
      <w:proofErr w:type="gramEnd"/>
      <w:r>
        <w:rPr>
          <w:rFonts w:ascii="Calibri" w:eastAsia="宋体" w:hAnsi="Calibri" w:cs="Times New Roman"/>
          <w:sz w:val="18"/>
          <w:szCs w:val="18"/>
        </w:rPr>
        <w:t>内：</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1</w:t>
      </w:r>
      <w:r>
        <w:rPr>
          <w:rFonts w:ascii="Calibri" w:eastAsia="宋体" w:hAnsi="Calibri" w:cs="Times New Roman"/>
          <w:sz w:val="18"/>
          <w:szCs w:val="18"/>
        </w:rPr>
        <w:t>、长期泥淹水泡，导致锈死；</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2</w:t>
      </w:r>
      <w:r>
        <w:rPr>
          <w:rFonts w:ascii="Calibri" w:eastAsia="宋体" w:hAnsi="Calibri" w:cs="Times New Roman"/>
          <w:sz w:val="18"/>
          <w:szCs w:val="18"/>
        </w:rPr>
        <w:t>、水质或管网内杂质过多导致产品故障；</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3</w:t>
      </w:r>
      <w:r>
        <w:rPr>
          <w:rFonts w:ascii="Calibri" w:eastAsia="宋体" w:hAnsi="Calibri" w:cs="Times New Roman"/>
          <w:sz w:val="18"/>
          <w:szCs w:val="18"/>
        </w:rPr>
        <w:t>、人为损坏、拆卸铅封、硬物砸坏、火烤等损坏表体结构；</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4</w:t>
      </w:r>
      <w:r>
        <w:rPr>
          <w:rFonts w:ascii="Calibri" w:eastAsia="宋体" w:hAnsi="Calibri" w:cs="Times New Roman"/>
          <w:sz w:val="18"/>
          <w:szCs w:val="18"/>
        </w:rPr>
        <w:t>、水温过高，环境温度超过国标正常规定；</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5</w:t>
      </w:r>
      <w:r>
        <w:rPr>
          <w:rFonts w:ascii="Calibri" w:eastAsia="宋体" w:hAnsi="Calibri" w:cs="Times New Roman"/>
          <w:sz w:val="18"/>
          <w:szCs w:val="18"/>
        </w:rPr>
        <w:t>、因管网问题或现场安装环境不符合标准要求；</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6</w:t>
      </w:r>
      <w:r>
        <w:rPr>
          <w:rFonts w:ascii="Calibri" w:eastAsia="宋体" w:hAnsi="Calibri" w:cs="Times New Roman"/>
          <w:sz w:val="18"/>
          <w:szCs w:val="18"/>
        </w:rPr>
        <w:t>、有线远传表信号线</w:t>
      </w:r>
      <w:r>
        <w:rPr>
          <w:rFonts w:ascii="Calibri" w:eastAsia="宋体" w:hAnsi="Calibri" w:cs="Times New Roman"/>
          <w:sz w:val="18"/>
          <w:szCs w:val="18"/>
        </w:rPr>
        <w:t>/</w:t>
      </w:r>
      <w:r>
        <w:rPr>
          <w:rFonts w:ascii="Calibri" w:eastAsia="宋体" w:hAnsi="Calibri" w:cs="Times New Roman"/>
          <w:sz w:val="18"/>
          <w:szCs w:val="18"/>
        </w:rPr>
        <w:t>电源线接入强电、电源线接反导致电路烧坏；</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7</w:t>
      </w:r>
      <w:r>
        <w:rPr>
          <w:rFonts w:ascii="Calibri" w:eastAsia="宋体" w:hAnsi="Calibri" w:cs="Times New Roman"/>
          <w:sz w:val="18"/>
          <w:szCs w:val="18"/>
        </w:rPr>
        <w:t>、擅自更改抄表</w:t>
      </w:r>
      <w:r>
        <w:rPr>
          <w:rFonts w:ascii="Calibri" w:eastAsia="宋体" w:hAnsi="Calibri" w:cs="Times New Roman"/>
          <w:sz w:val="18"/>
          <w:szCs w:val="18"/>
        </w:rPr>
        <w:t>/</w:t>
      </w:r>
      <w:r>
        <w:rPr>
          <w:rFonts w:ascii="Calibri" w:eastAsia="宋体" w:hAnsi="Calibri" w:cs="Times New Roman"/>
          <w:sz w:val="18"/>
          <w:szCs w:val="18"/>
        </w:rPr>
        <w:t>上传频率，导致电池没电；</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8</w:t>
      </w:r>
      <w:r>
        <w:rPr>
          <w:rFonts w:ascii="Calibri" w:eastAsia="宋体" w:hAnsi="Calibri" w:cs="Times New Roman"/>
          <w:sz w:val="18"/>
          <w:szCs w:val="18"/>
        </w:rPr>
        <w:t>、无线远传表安装现场运营商信号强度不满足产品数据传输要求；</w:t>
      </w:r>
    </w:p>
    <w:p w:rsidR="004214D3" w:rsidRDefault="00BA0265">
      <w:pPr>
        <w:pStyle w:val="a6"/>
        <w:rPr>
          <w:rFonts w:ascii="Calibri" w:eastAsia="宋体" w:hAnsi="Calibri" w:cs="Times New Roman"/>
          <w:sz w:val="18"/>
          <w:szCs w:val="18"/>
        </w:rPr>
      </w:pPr>
      <w:r>
        <w:rPr>
          <w:rFonts w:ascii="Calibri" w:eastAsia="宋体" w:hAnsi="Calibri" w:cs="Times New Roman"/>
          <w:sz w:val="18"/>
          <w:szCs w:val="18"/>
        </w:rPr>
        <w:t>9</w:t>
      </w:r>
      <w:r>
        <w:rPr>
          <w:rFonts w:ascii="Calibri" w:eastAsia="宋体" w:hAnsi="Calibri" w:cs="Times New Roman"/>
          <w:sz w:val="18"/>
          <w:szCs w:val="18"/>
        </w:rPr>
        <w:t>、无线远传表安装现场，因金属井盖</w:t>
      </w:r>
      <w:r>
        <w:rPr>
          <w:rFonts w:ascii="Calibri" w:eastAsia="宋体" w:hAnsi="Calibri" w:cs="Times New Roman"/>
          <w:sz w:val="18"/>
          <w:szCs w:val="18"/>
        </w:rPr>
        <w:t>/</w:t>
      </w:r>
      <w:r>
        <w:rPr>
          <w:rFonts w:ascii="Calibri" w:eastAsia="宋体" w:hAnsi="Calibri" w:cs="Times New Roman"/>
          <w:sz w:val="18"/>
          <w:szCs w:val="18"/>
        </w:rPr>
        <w:t>金属门等信号屏蔽导致数据传输信号弱。</w:t>
      </w:r>
    </w:p>
    <w:p w:rsidR="004214D3" w:rsidRDefault="004214D3">
      <w:pPr>
        <w:outlineLvl w:val="0"/>
        <w:rPr>
          <w:rFonts w:ascii="Arial" w:eastAsia="幼圆" w:hAnsi="Arial" w:cs="Arial"/>
          <w:b/>
          <w:sz w:val="24"/>
          <w:szCs w:val="24"/>
          <w:lang w:bidi="ar"/>
        </w:rPr>
      </w:pPr>
    </w:p>
    <w:p w:rsidR="004214D3" w:rsidRDefault="00BA0265">
      <w:pPr>
        <w:outlineLvl w:val="0"/>
        <w:rPr>
          <w:rFonts w:ascii="Arial" w:eastAsia="幼圆" w:hAnsi="Arial" w:cs="Arial"/>
          <w:b/>
          <w:sz w:val="24"/>
          <w:szCs w:val="24"/>
        </w:rPr>
      </w:pPr>
      <w:r>
        <w:rPr>
          <w:rFonts w:ascii="Arial" w:eastAsia="幼圆" w:hAnsi="Arial" w:cs="Arial" w:hint="eastAsia"/>
          <w:b/>
          <w:sz w:val="24"/>
          <w:szCs w:val="24"/>
          <w:lang w:bidi="ar"/>
        </w:rPr>
        <w:t>十</w:t>
      </w:r>
      <w:r>
        <w:rPr>
          <w:rFonts w:ascii="Arial" w:eastAsia="幼圆" w:hAnsi="Arial" w:cs="Arial"/>
          <w:b/>
          <w:sz w:val="24"/>
          <w:szCs w:val="24"/>
          <w:lang w:bidi="ar"/>
        </w:rPr>
        <w:t>.</w:t>
      </w:r>
      <w:r>
        <w:rPr>
          <w:rFonts w:ascii="幼圆" w:eastAsia="幼圆" w:hAnsi="幼圆" w:cs="幼圆" w:hint="eastAsia"/>
          <w:b/>
          <w:sz w:val="24"/>
          <w:szCs w:val="24"/>
          <w:lang w:bidi="ar"/>
        </w:rPr>
        <w:t>水表附件</w:t>
      </w:r>
    </w:p>
    <w:tbl>
      <w:tblPr>
        <w:tblStyle w:val="a7"/>
        <w:tblW w:w="7062" w:type="dxa"/>
        <w:tblInd w:w="135" w:type="dxa"/>
        <w:tblLayout w:type="fixed"/>
        <w:tblLook w:val="04A0" w:firstRow="1" w:lastRow="0" w:firstColumn="1" w:lastColumn="0" w:noHBand="0" w:noVBand="1"/>
      </w:tblPr>
      <w:tblGrid>
        <w:gridCol w:w="1765"/>
        <w:gridCol w:w="1765"/>
        <w:gridCol w:w="1766"/>
        <w:gridCol w:w="1766"/>
      </w:tblGrid>
      <w:tr w:rsidR="004214D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序号</w:t>
            </w:r>
          </w:p>
        </w:tc>
        <w:tc>
          <w:tcPr>
            <w:tcW w:w="1765"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名称</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单位</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数量</w:t>
            </w:r>
          </w:p>
        </w:tc>
      </w:tr>
      <w:tr w:rsidR="004214D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c>
          <w:tcPr>
            <w:tcW w:w="1765"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高分子接管螺母</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套</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4214D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c>
          <w:tcPr>
            <w:tcW w:w="1765"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橡胶垫片</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proofErr w:type="gramStart"/>
            <w:r>
              <w:rPr>
                <w:rFonts w:ascii="宋体" w:eastAsia="宋体" w:hAnsi="宋体" w:cs="宋体" w:hint="eastAsia"/>
                <w:bCs/>
                <w:sz w:val="20"/>
                <w:szCs w:val="20"/>
                <w:lang w:bidi="ar"/>
              </w:rPr>
              <w:t>个</w:t>
            </w:r>
            <w:proofErr w:type="gramEnd"/>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r>
      <w:tr w:rsidR="004214D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3</w:t>
            </w:r>
          </w:p>
        </w:tc>
        <w:tc>
          <w:tcPr>
            <w:tcW w:w="1765"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合格证</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张</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4214D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4</w:t>
            </w:r>
          </w:p>
        </w:tc>
        <w:tc>
          <w:tcPr>
            <w:tcW w:w="1765"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使用说明书</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份</w:t>
            </w:r>
          </w:p>
        </w:tc>
        <w:tc>
          <w:tcPr>
            <w:tcW w:w="1766" w:type="dxa"/>
            <w:tcBorders>
              <w:top w:val="single" w:sz="4" w:space="0" w:color="auto"/>
              <w:left w:val="nil"/>
              <w:bottom w:val="single" w:sz="4" w:space="0" w:color="auto"/>
              <w:right w:val="single" w:sz="4" w:space="0" w:color="auto"/>
            </w:tcBorders>
            <w:shd w:val="clear" w:color="auto" w:fill="auto"/>
            <w:vAlign w:val="center"/>
          </w:tcPr>
          <w:p w:rsidR="004214D3" w:rsidRDefault="00BA0265">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bl>
    <w:p w:rsidR="004214D3" w:rsidRDefault="00BA0265">
      <w:pPr>
        <w:rPr>
          <w:rFonts w:ascii="Arial" w:eastAsia="幼圆" w:hAnsi="Arial" w:cs="Arial"/>
          <w:b/>
          <w:sz w:val="24"/>
          <w:szCs w:val="24"/>
        </w:rPr>
      </w:pPr>
      <w:r>
        <w:rPr>
          <w:rFonts w:ascii="Arial" w:eastAsia="幼圆" w:hAnsi="Arial" w:cs="Arial"/>
          <w:b/>
          <w:sz w:val="24"/>
          <w:szCs w:val="24"/>
          <w:lang w:bidi="ar"/>
        </w:rPr>
        <w:t xml:space="preserve">  </w:t>
      </w:r>
    </w:p>
    <w:p w:rsidR="004214D3" w:rsidRDefault="00BA0265">
      <w:pPr>
        <w:rPr>
          <w:rFonts w:ascii="Calibri" w:eastAsia="宋体" w:hAnsi="Calibri" w:cs="Times New Roman"/>
          <w:sz w:val="18"/>
          <w:szCs w:val="18"/>
        </w:rPr>
      </w:pPr>
      <w:r>
        <w:rPr>
          <w:rFonts w:ascii="Calibri" w:eastAsia="宋体" w:hAnsi="Calibri" w:cs="Times New Roman"/>
          <w:noProof/>
          <w:szCs w:val="21"/>
        </w:rPr>
        <w:drawing>
          <wp:inline distT="0" distB="0" distL="114300" distR="114300">
            <wp:extent cx="4867275" cy="57150"/>
            <wp:effectExtent l="0" t="0" r="952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4867275" cy="57150"/>
                    </a:xfrm>
                    <a:prstGeom prst="rect">
                      <a:avLst/>
                    </a:prstGeom>
                    <a:noFill/>
                    <a:ln w="9525">
                      <a:noFill/>
                    </a:ln>
                  </pic:spPr>
                </pic:pic>
              </a:graphicData>
            </a:graphic>
          </wp:inline>
        </w:drawing>
      </w:r>
      <w:r>
        <w:rPr>
          <w:rFonts w:ascii="Calibri" w:eastAsia="宋体" w:hAnsi="Calibri" w:cs="Times New Roman"/>
          <w:sz w:val="18"/>
          <w:szCs w:val="18"/>
          <w:lang w:bidi="ar"/>
        </w:rPr>
        <w:t xml:space="preserve"> </w:t>
      </w:r>
    </w:p>
    <w:p w:rsidR="004214D3" w:rsidRDefault="00BA0265">
      <w:pPr>
        <w:rPr>
          <w:rFonts w:ascii="Arial" w:eastAsia="幼圆" w:hAnsi="Arial" w:cs="Arial"/>
          <w:b/>
          <w:sz w:val="32"/>
          <w:szCs w:val="32"/>
        </w:rPr>
      </w:pPr>
      <w:r>
        <w:rPr>
          <w:rFonts w:ascii="宋体" w:eastAsia="宋体" w:hAnsi="宋体" w:cs="宋体" w:hint="eastAsia"/>
          <w:sz w:val="18"/>
          <w:szCs w:val="18"/>
          <w:lang w:bidi="ar"/>
        </w:rPr>
        <w:t>地</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址：北京市经济技术开发区兴盛街</w:t>
      </w:r>
      <w:r>
        <w:rPr>
          <w:rFonts w:ascii="Calibri" w:eastAsia="宋体" w:hAnsi="Calibri" w:cs="Calibri"/>
          <w:sz w:val="18"/>
          <w:szCs w:val="18"/>
          <w:lang w:bidi="ar"/>
        </w:rPr>
        <w:t>19</w:t>
      </w:r>
      <w:r>
        <w:rPr>
          <w:rFonts w:ascii="宋体" w:eastAsia="宋体" w:hAnsi="宋体" w:cs="宋体" w:hint="eastAsia"/>
          <w:sz w:val="18"/>
          <w:szCs w:val="18"/>
          <w:lang w:bidi="ar"/>
        </w:rPr>
        <w:t>号</w:t>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proofErr w:type="gramStart"/>
      <w:r>
        <w:rPr>
          <w:rFonts w:ascii="宋体" w:eastAsia="宋体" w:hAnsi="宋体" w:cs="宋体" w:hint="eastAsia"/>
          <w:sz w:val="18"/>
          <w:szCs w:val="18"/>
          <w:lang w:bidi="ar"/>
        </w:rPr>
        <w:t>邮</w:t>
      </w:r>
      <w:proofErr w:type="gramEnd"/>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编：</w:t>
      </w:r>
      <w:r>
        <w:rPr>
          <w:rFonts w:ascii="Calibri" w:eastAsia="宋体" w:hAnsi="Calibri" w:cs="Calibri"/>
          <w:sz w:val="18"/>
          <w:szCs w:val="18"/>
          <w:lang w:bidi="ar"/>
        </w:rPr>
        <w:t>100176</w:t>
      </w:r>
    </w:p>
    <w:p w:rsidR="004214D3" w:rsidRDefault="00BA0265">
      <w:pPr>
        <w:spacing w:line="200" w:lineRule="exact"/>
        <w:rPr>
          <w:rFonts w:ascii="Calibri" w:eastAsia="宋体" w:hAnsi="Calibri" w:cs="Times New Roman"/>
          <w:sz w:val="18"/>
          <w:szCs w:val="18"/>
        </w:rPr>
      </w:pPr>
      <w:r>
        <w:rPr>
          <w:rFonts w:ascii="宋体" w:eastAsia="宋体" w:hAnsi="宋体" w:cs="宋体" w:hint="eastAsia"/>
          <w:sz w:val="18"/>
          <w:szCs w:val="18"/>
          <w:lang w:bidi="ar"/>
        </w:rPr>
        <w:t>传</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真：</w:t>
      </w:r>
      <w:r>
        <w:rPr>
          <w:rFonts w:ascii="Calibri" w:eastAsia="宋体" w:hAnsi="Calibri" w:cs="Calibri"/>
          <w:sz w:val="18"/>
          <w:szCs w:val="18"/>
          <w:lang w:bidi="ar"/>
        </w:rPr>
        <w:t>010-67880119</w:t>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宋体" w:eastAsia="宋体" w:hAnsi="宋体" w:cs="宋体" w:hint="eastAsia"/>
          <w:sz w:val="18"/>
          <w:szCs w:val="18"/>
          <w:lang w:bidi="ar"/>
        </w:rPr>
        <w:t>服务热线：</w:t>
      </w:r>
      <w:r>
        <w:rPr>
          <w:rFonts w:ascii="Calibri" w:eastAsia="宋体" w:hAnsi="Calibri" w:cs="Calibri"/>
          <w:sz w:val="18"/>
          <w:szCs w:val="18"/>
          <w:lang w:bidi="ar"/>
        </w:rPr>
        <w:t>400-666-6613</w:t>
      </w:r>
    </w:p>
    <w:p w:rsidR="004214D3" w:rsidRDefault="00BA0265">
      <w:pPr>
        <w:spacing w:line="200" w:lineRule="exact"/>
        <w:rPr>
          <w:rFonts w:ascii="Calibri" w:eastAsia="宋体" w:hAnsi="Calibri" w:cs="Times New Roman"/>
          <w:szCs w:val="21"/>
        </w:rPr>
      </w:pPr>
      <w:r>
        <w:rPr>
          <w:rFonts w:ascii="宋体" w:eastAsia="宋体" w:hAnsi="宋体" w:cs="宋体" w:hint="eastAsia"/>
          <w:sz w:val="18"/>
          <w:szCs w:val="18"/>
          <w:lang w:bidi="ar"/>
        </w:rPr>
        <w:t>网</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w:t>
      </w:r>
      <w:hyperlink r:id="rId12" w:history="1">
        <w:r>
          <w:rPr>
            <w:rStyle w:val="a9"/>
            <w:rFonts w:ascii="Calibri" w:eastAsia="宋体" w:hAnsi="Calibri" w:cs="Calibri"/>
            <w:sz w:val="18"/>
            <w:szCs w:val="18"/>
          </w:rPr>
          <w:t>http://www.ydyb.com</w:t>
        </w:r>
      </w:hyperlink>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20"/>
          <w:szCs w:val="20"/>
          <w:lang w:bidi="ar"/>
        </w:rPr>
        <w:t xml:space="preserve"> </w:t>
      </w:r>
      <w:r>
        <w:rPr>
          <w:rFonts w:ascii="Calibri" w:eastAsia="宋体" w:hAnsi="Calibri" w:cs="Calibri"/>
          <w:b/>
          <w:sz w:val="20"/>
          <w:szCs w:val="20"/>
          <w:lang w:bidi="ar"/>
        </w:rPr>
        <w:t>E-mail</w:t>
      </w:r>
      <w:r>
        <w:rPr>
          <w:rFonts w:ascii="Calibri" w:eastAsia="宋体" w:hAnsi="Calibri" w:cs="Times New Roman"/>
          <w:b/>
          <w:sz w:val="20"/>
          <w:szCs w:val="20"/>
          <w:lang w:bidi="ar"/>
        </w:rPr>
        <w:t xml:space="preserve"> </w:t>
      </w:r>
      <w:r>
        <w:rPr>
          <w:rFonts w:ascii="宋体" w:eastAsia="宋体" w:hAnsi="宋体" w:cs="宋体" w:hint="eastAsia"/>
          <w:sz w:val="18"/>
          <w:szCs w:val="18"/>
          <w:lang w:bidi="ar"/>
        </w:rPr>
        <w:t>：</w:t>
      </w:r>
      <w:r>
        <w:rPr>
          <w:rFonts w:ascii="Calibri" w:eastAsia="宋体" w:hAnsi="Calibri" w:cs="Calibri"/>
          <w:sz w:val="18"/>
          <w:szCs w:val="18"/>
          <w:lang w:bidi="ar"/>
        </w:rPr>
        <w:t>ydybcom@sina.com</w:t>
      </w:r>
    </w:p>
    <w:p w:rsidR="004214D3" w:rsidRDefault="004214D3">
      <w:pPr>
        <w:ind w:left="426"/>
        <w:rPr>
          <w:sz w:val="18"/>
          <w:szCs w:val="18"/>
        </w:rPr>
      </w:pPr>
    </w:p>
    <w:sectPr w:rsidR="004214D3">
      <w:headerReference w:type="default" r:id="rId13"/>
      <w:pgSz w:w="16838" w:h="11906" w:orient="landscape"/>
      <w:pgMar w:top="567" w:right="567" w:bottom="567" w:left="567" w:header="680" w:footer="454"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65" w:rsidRDefault="00BA0265">
      <w:r>
        <w:separator/>
      </w:r>
    </w:p>
  </w:endnote>
  <w:endnote w:type="continuationSeparator" w:id="0">
    <w:p w:rsidR="00BA0265" w:rsidRDefault="00BA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65" w:rsidRDefault="00BA0265">
      <w:r>
        <w:separator/>
      </w:r>
    </w:p>
  </w:footnote>
  <w:footnote w:type="continuationSeparator" w:id="0">
    <w:p w:rsidR="00BA0265" w:rsidRDefault="00BA0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D3" w:rsidRDefault="004214D3">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59190"/>
    <w:multiLevelType w:val="multilevel"/>
    <w:tmpl w:val="E8159190"/>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1EB5210"/>
    <w:multiLevelType w:val="multilevel"/>
    <w:tmpl w:val="01EB5210"/>
    <w:lvl w:ilvl="0">
      <w:start w:val="1"/>
      <w:numFmt w:val="decimal"/>
      <w:lvlText w:val="%1."/>
      <w:lvlJc w:val="left"/>
      <w:pPr>
        <w:ind w:left="360" w:hanging="360"/>
      </w:pPr>
      <w:rPr>
        <w:rFonts w:ascii="Calibri" w:eastAsia="幼圆" w:hAnsi="Calibri" w:cs="Calibri" w:hint="default"/>
        <w:b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3A6BE7"/>
    <w:multiLevelType w:val="multilevel"/>
    <w:tmpl w:val="1A3A6B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F76FD5"/>
    <w:multiLevelType w:val="multilevel"/>
    <w:tmpl w:val="69F76FD5"/>
    <w:lvl w:ilvl="0">
      <w:start w:val="1"/>
      <w:numFmt w:val="japaneseCounting"/>
      <w:lvlText w:val="%1."/>
      <w:lvlJc w:val="left"/>
      <w:pPr>
        <w:ind w:left="360" w:hanging="3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9247DF"/>
    <w:multiLevelType w:val="multilevel"/>
    <w:tmpl w:val="6C9247DF"/>
    <w:lvl w:ilvl="0">
      <w:start w:val="1"/>
      <w:numFmt w:val="decimal"/>
      <w:lvlText w:val="%1."/>
      <w:lvlJc w:val="left"/>
      <w:pPr>
        <w:ind w:left="360" w:hanging="360"/>
      </w:pPr>
      <w:rPr>
        <w:rFonts w:ascii="Times New Roman" w:eastAsia="幼圆" w:hAnsi="Times New Roman" w:cs="Calibri" w:hint="default"/>
        <w:sz w:val="18"/>
        <w:szCs w:val="18"/>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6E922E09"/>
    <w:multiLevelType w:val="multilevel"/>
    <w:tmpl w:val="6E922E09"/>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57A2B99"/>
    <w:multiLevelType w:val="multilevel"/>
    <w:tmpl w:val="757A2B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GQ0MzU5ZmEzOGVjYzQ4MTlhZjBlMTZmMmQ1YTYifQ=="/>
  </w:docVars>
  <w:rsids>
    <w:rsidRoot w:val="00DD227B"/>
    <w:rsid w:val="0003002A"/>
    <w:rsid w:val="0008709C"/>
    <w:rsid w:val="000A27F3"/>
    <w:rsid w:val="000A507B"/>
    <w:rsid w:val="000F70A4"/>
    <w:rsid w:val="00117AEE"/>
    <w:rsid w:val="001940D5"/>
    <w:rsid w:val="001B633D"/>
    <w:rsid w:val="001C5435"/>
    <w:rsid w:val="002A0B67"/>
    <w:rsid w:val="00365981"/>
    <w:rsid w:val="00397BC7"/>
    <w:rsid w:val="003C3C52"/>
    <w:rsid w:val="003E7CE2"/>
    <w:rsid w:val="00400075"/>
    <w:rsid w:val="004214D3"/>
    <w:rsid w:val="00435329"/>
    <w:rsid w:val="004867E0"/>
    <w:rsid w:val="004D3D35"/>
    <w:rsid w:val="00536618"/>
    <w:rsid w:val="006168CB"/>
    <w:rsid w:val="006246D9"/>
    <w:rsid w:val="00687147"/>
    <w:rsid w:val="006E2348"/>
    <w:rsid w:val="0079040C"/>
    <w:rsid w:val="007C19C7"/>
    <w:rsid w:val="007F2789"/>
    <w:rsid w:val="0080719C"/>
    <w:rsid w:val="00807E61"/>
    <w:rsid w:val="00821F7E"/>
    <w:rsid w:val="008629EF"/>
    <w:rsid w:val="00875C5C"/>
    <w:rsid w:val="00892E6B"/>
    <w:rsid w:val="008B0C44"/>
    <w:rsid w:val="0092245E"/>
    <w:rsid w:val="009B5DDA"/>
    <w:rsid w:val="009C3D15"/>
    <w:rsid w:val="009D58E8"/>
    <w:rsid w:val="009F1A21"/>
    <w:rsid w:val="00A37751"/>
    <w:rsid w:val="00A61AE2"/>
    <w:rsid w:val="00A63EEC"/>
    <w:rsid w:val="00AA0BB6"/>
    <w:rsid w:val="00B65172"/>
    <w:rsid w:val="00B843A0"/>
    <w:rsid w:val="00BA0265"/>
    <w:rsid w:val="00BC2E0D"/>
    <w:rsid w:val="00BC73B8"/>
    <w:rsid w:val="00C0137D"/>
    <w:rsid w:val="00C1162C"/>
    <w:rsid w:val="00CC0748"/>
    <w:rsid w:val="00CC3696"/>
    <w:rsid w:val="00D40042"/>
    <w:rsid w:val="00D76F18"/>
    <w:rsid w:val="00D77970"/>
    <w:rsid w:val="00DD227B"/>
    <w:rsid w:val="00E419D7"/>
    <w:rsid w:val="00E423FA"/>
    <w:rsid w:val="00E53CDF"/>
    <w:rsid w:val="00EB2AD8"/>
    <w:rsid w:val="00EC2541"/>
    <w:rsid w:val="00EF21F6"/>
    <w:rsid w:val="00F41DD0"/>
    <w:rsid w:val="00F64A4E"/>
    <w:rsid w:val="00F72DC2"/>
    <w:rsid w:val="00F812A5"/>
    <w:rsid w:val="00F941B3"/>
    <w:rsid w:val="00FF3D37"/>
    <w:rsid w:val="0ABB799B"/>
    <w:rsid w:val="0F4D00C6"/>
    <w:rsid w:val="1DB85D13"/>
    <w:rsid w:val="2EF84229"/>
    <w:rsid w:val="62C6120E"/>
    <w:rsid w:val="6B18321E"/>
    <w:rsid w:val="77FA3DFF"/>
    <w:rsid w:val="78C7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 w:type="paragraph" w:customStyle="1" w:styleId="1">
    <w:name w:val="列出段落1"/>
    <w:basedOn w:val="a"/>
    <w:uiPriority w:val="34"/>
    <w:qFormat/>
    <w:rsid w:val="004867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 w:type="paragraph" w:customStyle="1" w:styleId="1">
    <w:name w:val="列出段落1"/>
    <w:basedOn w:val="a"/>
    <w:uiPriority w:val="34"/>
    <w:qFormat/>
    <w:rsid w:val="004867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dy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LONG</dc:creator>
  <cp:lastModifiedBy>Cui</cp:lastModifiedBy>
  <cp:revision>3</cp:revision>
  <cp:lastPrinted>2018-07-13T02:11:00Z</cp:lastPrinted>
  <dcterms:created xsi:type="dcterms:W3CDTF">2018-07-10T07:12:00Z</dcterms:created>
  <dcterms:modified xsi:type="dcterms:W3CDTF">2024-03-23T08:14:00Z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2052-11.1.0.14309</vt:lpwstr>
  </property>
  <property fmtid="{D5CDD505-2E9C-101B-9397-08002B2CF9AE}" pid="4" name="ICV">
    <vt:lpwstr>27E2A39DE9C3452D98E00F9CC65817A3</vt:lpwstr>
  </property>
</Properties>
</file>