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eastAsia="幼圆" w:cs="Arial"/>
          <w:b/>
          <w:bCs w:val="0"/>
          <w:kern w:val="2"/>
          <w:sz w:val="32"/>
          <w:szCs w:val="32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4867275" cy="57150"/>
            <wp:effectExtent l="0" t="0" r="9525" b="6350"/>
            <wp:docPr id="7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幼圆" w:cs="Arial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Arial" w:hAnsi="Arial" w:eastAsia="幼圆" w:cs="Arial"/>
          <w:b/>
          <w:bCs w:val="0"/>
          <w:kern w:val="2"/>
          <w:sz w:val="32"/>
          <w:szCs w:val="32"/>
        </w:rPr>
      </w:pPr>
      <w:r>
        <w:rPr>
          <w:rFonts w:hint="default" w:ascii="Arial" w:hAnsi="Arial" w:eastAsia="幼圆" w:cs="Arial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default" w:ascii="Times New Roman" w:hAnsi="Times New Roman" w:eastAsia="黑体" w:cs="Times New Roman"/>
          <w:kern w:val="2"/>
          <w:sz w:val="36"/>
          <w:szCs w:val="36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垂直螺翼远传冷水表（GPRS）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DN40-DN200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sz w:val="36"/>
          <w:szCs w:val="36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安装使用说明书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Arial" w:hAnsi="Arial" w:eastAsia="幼圆" w:cs="Arial"/>
          <w:b/>
          <w:bCs w:val="0"/>
          <w:kern w:val="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Arial" w:hAnsi="Arial" w:eastAsia="幼圆" w:cs="Arial"/>
          <w:b/>
          <w:bCs w:val="0"/>
          <w:kern w:val="2"/>
          <w:sz w:val="32"/>
          <w:szCs w:val="32"/>
        </w:rPr>
      </w:pPr>
      <w:r>
        <w:rPr>
          <w:rFonts w:hint="default" w:ascii="Arial" w:hAnsi="Arial" w:eastAsia="幼圆" w:cs="Arial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Arial" w:hAnsi="Arial" w:eastAsia="幼圆" w:cs="Arial"/>
          <w:b/>
          <w:bCs w:val="0"/>
          <w:kern w:val="2"/>
          <w:sz w:val="32"/>
          <w:szCs w:val="32"/>
        </w:rPr>
      </w:pPr>
      <w:r>
        <w:rPr>
          <w:rFonts w:hint="default" w:ascii="Arial" w:hAnsi="Arial" w:eastAsia="幼圆" w:cs="Arial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eastAsia="幼圆" w:cs="Arial"/>
          <w:b/>
          <w:bCs w:val="0"/>
          <w:kern w:val="2"/>
          <w:sz w:val="32"/>
          <w:szCs w:val="32"/>
        </w:rPr>
      </w:pPr>
      <w:r>
        <w:rPr>
          <w:rFonts w:hint="default" w:ascii="Arial" w:hAnsi="Arial" w:eastAsia="幼圆" w:cs="Arial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eastAsia="幼圆" w:cs="Arial"/>
          <w:b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Arial" w:hAnsi="Arial" w:eastAsia="幼圆" w:cs="Arial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eastAsia="幼圆" w:cs="Arial"/>
          <w:b/>
          <w:bCs w:val="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eastAsia="幼圆" w:cs="Arial"/>
          <w:b/>
          <w:bCs w:val="0"/>
          <w:kern w:val="2"/>
          <w:sz w:val="32"/>
          <w:szCs w:val="32"/>
        </w:rPr>
      </w:pPr>
      <w:r>
        <w:rPr>
          <w:rFonts w:hint="default" w:ascii="Arial" w:hAnsi="Arial" w:eastAsia="幼圆" w:cs="Arial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eastAsia="幼圆" w:cs="Arial"/>
          <w:b/>
          <w:bCs w:val="0"/>
          <w:kern w:val="2"/>
          <w:sz w:val="32"/>
          <w:szCs w:val="32"/>
        </w:rPr>
      </w:pPr>
      <w:r>
        <w:rPr>
          <w:rFonts w:hint="default" w:ascii="Arial" w:hAnsi="Arial" w:eastAsia="幼圆" w:cs="Arial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eastAsia="幼圆" w:cs="Arial"/>
          <w:b/>
          <w:bCs w:val="0"/>
          <w:kern w:val="2"/>
          <w:sz w:val="32"/>
          <w:szCs w:val="32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4867275" cy="57150"/>
            <wp:effectExtent l="0" t="0" r="9525" b="6350"/>
            <wp:docPr id="8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黑体" w:hAnsi="Calibri" w:eastAsia="黑体" w:cs="Times New Roman"/>
          <w:b/>
          <w:bCs w:val="0"/>
          <w:kern w:val="2"/>
          <w:sz w:val="44"/>
          <w:szCs w:val="44"/>
        </w:rPr>
      </w:pPr>
      <w:r>
        <w:rPr>
          <w:rFonts w:hint="eastAsia" w:ascii="黑体" w:hAnsi="宋体" w:eastAsia="黑体" w:cs="黑体"/>
          <w:b/>
          <w:bCs w:val="0"/>
          <w:kern w:val="2"/>
          <w:sz w:val="32"/>
          <w:szCs w:val="32"/>
          <w:lang w:val="en-US" w:eastAsia="zh-CN" w:bidi="ar"/>
        </w:rPr>
        <w:t>益都智能技术（北京）股份有限公司</w:t>
      </w:r>
    </w:p>
    <w:p>
      <w:pPr>
        <w:spacing w:line="240" w:lineRule="atLeast"/>
        <w:contextualSpacing/>
        <w:jc w:val="center"/>
        <w:rPr>
          <w:sz w:val="20"/>
        </w:rPr>
      </w:pPr>
    </w:p>
    <w:p>
      <w:pPr>
        <w:spacing w:line="240" w:lineRule="atLeast"/>
        <w:contextualSpacing/>
        <w:jc w:val="center"/>
        <w:rPr>
          <w:sz w:val="20"/>
        </w:rPr>
      </w:pPr>
    </w:p>
    <w:p>
      <w:pPr>
        <w:spacing w:line="240" w:lineRule="atLeast"/>
        <w:contextualSpacing/>
        <w:jc w:val="center"/>
        <w:rPr>
          <w:sz w:val="20"/>
        </w:rPr>
      </w:pPr>
    </w:p>
    <w:p>
      <w:pPr>
        <w:pStyle w:val="10"/>
        <w:numPr>
          <w:ilvl w:val="0"/>
          <w:numId w:val="0"/>
        </w:numPr>
        <w:spacing w:line="180" w:lineRule="atLeast"/>
        <w:contextualSpacing/>
        <w:rPr>
          <w:rFonts w:hint="eastAsia"/>
          <w:b/>
          <w:sz w:val="20"/>
        </w:rPr>
      </w:pPr>
      <w:r>
        <w:rPr>
          <w:rFonts w:hint="eastAsia"/>
          <w:b/>
          <w:sz w:val="20"/>
          <w:lang w:val="en-US" w:eastAsia="zh-CN"/>
        </w:rPr>
        <w:t>一、产品</w:t>
      </w:r>
      <w:r>
        <w:rPr>
          <w:rFonts w:hint="eastAsia"/>
          <w:b/>
          <w:sz w:val="20"/>
        </w:rPr>
        <w:t>概述：</w:t>
      </w:r>
    </w:p>
    <w:p>
      <w:pPr>
        <w:pStyle w:val="10"/>
        <w:numPr>
          <w:ilvl w:val="0"/>
          <w:numId w:val="0"/>
        </w:numPr>
        <w:spacing w:line="180" w:lineRule="atLeast"/>
        <w:contextualSpacing/>
        <w:rPr>
          <w:rFonts w:hint="eastAsia"/>
          <w:b/>
          <w:sz w:val="20"/>
        </w:rPr>
      </w:pPr>
    </w:p>
    <w:p>
      <w:pPr>
        <w:spacing w:line="240" w:lineRule="atLeast"/>
        <w:contextualSpacing/>
        <w:jc w:val="both"/>
        <w:rPr>
          <w:rFonts w:hint="eastAsia"/>
          <w:sz w:val="20"/>
        </w:rPr>
      </w:pPr>
      <w:r>
        <w:rPr>
          <w:rFonts w:hint="eastAsia"/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 xml:space="preserve">   本产品</w:t>
      </w:r>
      <w:r>
        <w:rPr>
          <w:rFonts w:hint="eastAsia"/>
          <w:sz w:val="20"/>
        </w:rPr>
        <w:t>是以传统水表为信号发生源，电子计量部件采集信号源来累计基表的累计流量，从而计量用户所使用的水量，计量精度取决于基表精度。依托覆盖范围广的移动基站，通过</w:t>
      </w:r>
      <w:r>
        <w:rPr>
          <w:rFonts w:hint="eastAsia"/>
          <w:sz w:val="20"/>
          <w:lang w:val="en-US" w:eastAsia="zh-CN"/>
        </w:rPr>
        <w:t>4G网络</w:t>
      </w:r>
      <w:r>
        <w:rPr>
          <w:rFonts w:hint="eastAsia"/>
          <w:sz w:val="20"/>
        </w:rPr>
        <w:t>把计量数据发送到远程管理平台</w:t>
      </w:r>
      <w:r>
        <w:rPr>
          <w:rFonts w:hint="eastAsia"/>
          <w:sz w:val="20"/>
          <w:lang w:eastAsia="zh-CN"/>
        </w:rPr>
        <w:t>，</w:t>
      </w:r>
      <w:r>
        <w:rPr>
          <w:rFonts w:hint="eastAsia"/>
          <w:sz w:val="20"/>
        </w:rPr>
        <w:t>进行无线抄表、</w:t>
      </w:r>
      <w:r>
        <w:rPr>
          <w:rFonts w:hint="eastAsia"/>
          <w:sz w:val="20"/>
          <w:lang w:val="en-US" w:eastAsia="zh-CN"/>
        </w:rPr>
        <w:t>在线</w:t>
      </w:r>
      <w:r>
        <w:rPr>
          <w:rFonts w:hint="eastAsia"/>
          <w:sz w:val="20"/>
        </w:rPr>
        <w:t>充值、远程控制、故障检测等操作</w:t>
      </w:r>
      <w:r>
        <w:rPr>
          <w:rFonts w:hint="eastAsia"/>
          <w:sz w:val="20"/>
          <w:lang w:eastAsia="zh-CN"/>
        </w:rPr>
        <w:t>。</w:t>
      </w:r>
      <w:r>
        <w:rPr>
          <w:rFonts w:hint="eastAsia"/>
          <w:sz w:val="20"/>
        </w:rPr>
        <w:t>具有结构紧凑、安装方便等特点。</w:t>
      </w:r>
    </w:p>
    <w:p>
      <w:pPr>
        <w:spacing w:line="240" w:lineRule="atLeast"/>
        <w:contextualSpacing/>
        <w:jc w:val="both"/>
        <w:rPr>
          <w:rFonts w:hint="eastAsia"/>
          <w:sz w:val="20"/>
        </w:rPr>
      </w:pPr>
    </w:p>
    <w:p>
      <w:pPr>
        <w:pStyle w:val="10"/>
        <w:numPr>
          <w:ilvl w:val="0"/>
          <w:numId w:val="0"/>
        </w:numPr>
        <w:spacing w:line="180" w:lineRule="atLeast"/>
        <w:contextualSpacing/>
        <w:rPr>
          <w:rFonts w:hint="eastAsia"/>
          <w:b/>
          <w:sz w:val="20"/>
        </w:rPr>
      </w:pPr>
      <w:r>
        <w:rPr>
          <w:rFonts w:hint="eastAsia"/>
          <w:b/>
          <w:sz w:val="20"/>
          <w:lang w:val="en-US" w:eastAsia="zh-CN"/>
        </w:rPr>
        <w:t>二、</w:t>
      </w:r>
      <w:r>
        <w:rPr>
          <w:rFonts w:hint="eastAsia"/>
          <w:b/>
          <w:sz w:val="20"/>
        </w:rPr>
        <w:t>工作原理</w:t>
      </w:r>
    </w:p>
    <w:p>
      <w:pPr>
        <w:pStyle w:val="10"/>
        <w:numPr>
          <w:ilvl w:val="0"/>
          <w:numId w:val="0"/>
        </w:numPr>
        <w:spacing w:line="180" w:lineRule="atLeast"/>
        <w:ind w:leftChars="200"/>
        <w:contextualSpacing/>
        <w:rPr>
          <w:rFonts w:hint="eastAsia"/>
          <w:b/>
          <w:sz w:val="20"/>
        </w:rPr>
      </w:pPr>
    </w:p>
    <w:p>
      <w:pPr>
        <w:spacing w:line="240" w:lineRule="atLeast"/>
        <w:ind w:firstLine="400"/>
        <w:contextualSpacing/>
        <w:jc w:val="both"/>
        <w:rPr>
          <w:rFonts w:hint="eastAsia"/>
          <w:sz w:val="20"/>
        </w:rPr>
      </w:pPr>
      <w:r>
        <w:rPr>
          <w:rFonts w:hint="eastAsia"/>
          <w:sz w:val="20"/>
        </w:rPr>
        <w:t>当水流入水表后，沿轴线方向冲击水表螺翼形的叶轮旋转后流出，叶轮的转速与水流速度成正比，经过减速齿轮传动后，在指示装置上显示通过水表的水总量。</w:t>
      </w:r>
    </w:p>
    <w:p>
      <w:pPr>
        <w:spacing w:line="240" w:lineRule="atLeast"/>
        <w:ind w:firstLine="400"/>
        <w:contextualSpacing/>
        <w:jc w:val="both"/>
        <w:rPr>
          <w:rFonts w:hint="eastAsia"/>
          <w:sz w:val="20"/>
        </w:rPr>
      </w:pPr>
    </w:p>
    <w:p>
      <w:pPr>
        <w:pStyle w:val="10"/>
        <w:numPr>
          <w:ilvl w:val="0"/>
          <w:numId w:val="0"/>
        </w:numPr>
        <w:spacing w:line="180" w:lineRule="atLeast"/>
        <w:contextualSpacing/>
        <w:rPr>
          <w:b/>
          <w:sz w:val="20"/>
        </w:rPr>
      </w:pPr>
      <w:r>
        <w:rPr>
          <w:rFonts w:hint="eastAsia"/>
          <w:b/>
          <w:sz w:val="20"/>
          <w:lang w:val="en-US" w:eastAsia="zh-CN"/>
        </w:rPr>
        <w:t>三、</w:t>
      </w:r>
      <w:r>
        <w:rPr>
          <w:b/>
          <w:sz w:val="20"/>
        </w:rPr>
        <w:t>产品特点</w:t>
      </w:r>
    </w:p>
    <w:p>
      <w:pPr>
        <w:pStyle w:val="10"/>
        <w:numPr>
          <w:ilvl w:val="0"/>
          <w:numId w:val="0"/>
        </w:numPr>
        <w:spacing w:line="180" w:lineRule="atLeast"/>
        <w:contextualSpacing/>
        <w:rPr>
          <w:b/>
          <w:sz w:val="20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00" w:lineRule="exact"/>
        <w:ind w:left="420" w:right="0" w:hanging="420"/>
        <w:jc w:val="both"/>
        <w:outlineLvl w:val="0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</w:rPr>
        <w:t>采用4G网络通信，数据传输稳定，可定时上传，自动维护网络连接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00" w:lineRule="exact"/>
        <w:ind w:left="420" w:right="0" w:hanging="420"/>
        <w:jc w:val="both"/>
        <w:outlineLvl w:val="0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0"/>
          <w:szCs w:val="20"/>
        </w:rPr>
        <w:t>采用优质材料及防腐蚀处理，计量准确、精度高，经久耐用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00" w:lineRule="exact"/>
        <w:ind w:left="420" w:right="0" w:hanging="420"/>
        <w:jc w:val="both"/>
        <w:outlineLvl w:val="0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</w:rPr>
        <w:t>计数器采用铜封计数器，整洁防起雾，显示清晰，读取方便，外型美观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00" w:lineRule="exact"/>
        <w:ind w:left="420" w:right="0" w:hanging="420"/>
        <w:jc w:val="both"/>
        <w:outlineLvl w:val="0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0"/>
          <w:szCs w:val="20"/>
        </w:rPr>
        <w:t>采用可拆式机芯结构</w:t>
      </w:r>
      <w:r>
        <w:rPr>
          <w:rFonts w:hint="eastAsia" w:ascii="宋体" w:hAnsi="宋体" w:eastAsia="宋体" w:cs="宋体"/>
          <w:kern w:val="2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kern w:val="2"/>
          <w:sz w:val="20"/>
          <w:szCs w:val="20"/>
        </w:rPr>
        <w:t>水表机芯在使用现场可取出维修或更换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00" w:lineRule="exact"/>
        <w:ind w:left="420" w:right="0" w:hanging="420"/>
        <w:jc w:val="both"/>
        <w:outlineLvl w:val="0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</w:rPr>
        <w:t>采用低功耗设计，配合大容量锂电池，使用寿命长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00" w:lineRule="exact"/>
        <w:ind w:left="420" w:right="0" w:hanging="420"/>
        <w:jc w:val="both"/>
        <w:outlineLvl w:val="0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0"/>
          <w:szCs w:val="20"/>
        </w:rPr>
        <w:t>流动剖面敏感度等级为U0/D0，水表的进水/出水端无直管段要求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00" w:lineRule="exact"/>
        <w:ind w:left="420" w:right="0" w:hanging="420"/>
        <w:jc w:val="both"/>
        <w:outlineLvl w:val="0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</w:rPr>
        <w:t>内置不锈钢滤网设计，使测量元件得到最大程度保护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00" w:lineRule="exact"/>
        <w:ind w:left="420" w:right="0" w:hanging="420"/>
        <w:jc w:val="both"/>
        <w:outlineLvl w:val="0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</w:rPr>
        <w:t>始动流量低，灵敏度高，压力损失小，量程宽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00" w:lineRule="exact"/>
        <w:ind w:left="420" w:right="0" w:hanging="420"/>
        <w:jc w:val="both"/>
        <w:outlineLvl w:val="0"/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</w:rPr>
        <w:t>结构紧凑，防护等级高，可达IP68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00" w:lineRule="exact"/>
        <w:ind w:left="420" w:right="0" w:hanging="420"/>
        <w:jc w:val="both"/>
        <w:outlineLvl w:val="0"/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</w:rPr>
        <w:t>安装尺寸同旋翼式能互换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00" w:lineRule="exact"/>
        <w:ind w:leftChars="0" w:right="0" w:rightChars="0"/>
        <w:jc w:val="both"/>
        <w:outlineLvl w:val="0"/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</w:pPr>
    </w:p>
    <w:p>
      <w:pPr>
        <w:pStyle w:val="10"/>
        <w:numPr>
          <w:ilvl w:val="0"/>
          <w:numId w:val="0"/>
        </w:numPr>
        <w:spacing w:line="180" w:lineRule="atLeast"/>
        <w:contextualSpacing/>
        <w:rPr>
          <w:rFonts w:hint="eastAsia"/>
          <w:b/>
          <w:sz w:val="20"/>
          <w:lang w:val="en-US" w:eastAsia="zh-CN"/>
        </w:rPr>
      </w:pPr>
      <w:r>
        <w:rPr>
          <w:rFonts w:hint="eastAsia"/>
          <w:b/>
          <w:sz w:val="20"/>
          <w:lang w:val="en-US" w:eastAsia="zh-CN"/>
        </w:rPr>
        <w:t>四、技术参数</w:t>
      </w:r>
    </w:p>
    <w:p>
      <w:pPr>
        <w:pStyle w:val="10"/>
        <w:numPr>
          <w:ilvl w:val="0"/>
          <w:numId w:val="0"/>
        </w:numPr>
        <w:spacing w:line="180" w:lineRule="atLeast"/>
        <w:contextualSpacing/>
        <w:rPr>
          <w:rFonts w:hint="eastAsia"/>
          <w:b/>
          <w:sz w:val="20"/>
          <w:lang w:val="en-US" w:eastAsia="zh-CN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00" w:lineRule="exact"/>
        <w:ind w:leftChars="0" w:right="0" w:rightChars="0" w:firstLine="400" w:firstLineChars="200"/>
        <w:jc w:val="both"/>
        <w:outlineLvl w:val="0"/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</w:rPr>
        <w:t>该水表的各项技术指标均符合国家标准GB/T 778—2007《封闭满管道中水流量的测量  饮用冷水水表和热水水表》，CJ/T224-2012《电子远传水表》的规定。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00" w:lineRule="exact"/>
        <w:ind w:leftChars="0" w:right="0" w:rightChars="0"/>
        <w:jc w:val="both"/>
        <w:outlineLvl w:val="0"/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</w:rPr>
        <w:t>水表的安全性能符合CJ 266—2008《饮用水冷水水表安全规则》的规定。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00" w:lineRule="exact"/>
        <w:ind w:leftChars="0" w:right="0" w:rightChars="0"/>
        <w:jc w:val="both"/>
        <w:outlineLvl w:val="0"/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00" w:lineRule="exact"/>
        <w:ind w:leftChars="0" w:right="0" w:rightChars="0"/>
        <w:jc w:val="both"/>
        <w:outlineLvl w:val="0"/>
        <w:rPr>
          <w:rFonts w:hint="eastAsia"/>
          <w:sz w:val="20"/>
        </w:rPr>
      </w:pP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 xml:space="preserve"> </w:t>
      </w:r>
    </w:p>
    <w:p>
      <w:pPr>
        <w:spacing w:line="180" w:lineRule="atLeast"/>
        <w:ind w:firstLine="2600" w:firstLineChars="1300"/>
        <w:contextualSpacing/>
        <w:rPr>
          <w:rFonts w:hint="default" w:eastAsiaTheme="minorEastAsia"/>
          <w:sz w:val="20"/>
          <w:lang w:val="en-US" w:eastAsia="zh-CN"/>
        </w:rPr>
      </w:pPr>
      <w:r>
        <w:rPr>
          <w:rFonts w:hint="eastAsia"/>
          <w:sz w:val="20"/>
        </w:rPr>
        <w:t>表</w:t>
      </w:r>
      <w:r>
        <w:rPr>
          <w:rFonts w:hint="eastAsia"/>
          <w:sz w:val="20"/>
          <w:lang w:val="en-US" w:eastAsia="zh-CN"/>
        </w:rPr>
        <w:t>1</w:t>
      </w:r>
      <w:r>
        <w:rPr>
          <w:rFonts w:hint="eastAsia"/>
          <w:sz w:val="20"/>
        </w:rPr>
        <w:t>：</w:t>
      </w:r>
      <w:r>
        <w:rPr>
          <w:rFonts w:hint="eastAsia"/>
          <w:sz w:val="20"/>
          <w:lang w:val="en-US" w:eastAsia="zh-CN"/>
        </w:rPr>
        <w:t>产品技术指标</w:t>
      </w:r>
    </w:p>
    <w:p>
      <w:pPr>
        <w:spacing w:line="240" w:lineRule="atLeast"/>
        <w:contextualSpacing/>
        <w:jc w:val="both"/>
        <w:rPr>
          <w:rFonts w:hint="eastAsia"/>
          <w:b/>
          <w:sz w:val="20"/>
          <w:lang w:val="en-US" w:eastAsia="zh-CN"/>
        </w:rPr>
      </w:pPr>
    </w:p>
    <w:tbl>
      <w:tblPr>
        <w:tblStyle w:val="6"/>
        <w:tblW w:w="4795" w:type="pct"/>
        <w:tblInd w:w="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801"/>
        <w:gridCol w:w="801"/>
        <w:gridCol w:w="801"/>
        <w:gridCol w:w="801"/>
        <w:gridCol w:w="801"/>
        <w:gridCol w:w="801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6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公称直径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（mm）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DN40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DN50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DN65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DN80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DN100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DN150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DN200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6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量程比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160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200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200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200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200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200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6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Q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/Q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86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6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Q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vertAlign w:val="subscript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/Q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86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6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过载流量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Q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subscript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（m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/h）</w:t>
            </w:r>
          </w:p>
        </w:tc>
        <w:tc>
          <w:tcPr>
            <w:tcW w:w="55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55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55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55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78.75</w:t>
            </w:r>
          </w:p>
        </w:tc>
        <w:tc>
          <w:tcPr>
            <w:tcW w:w="55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125</w:t>
            </w:r>
          </w:p>
        </w:tc>
        <w:tc>
          <w:tcPr>
            <w:tcW w:w="55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312.5</w:t>
            </w:r>
          </w:p>
        </w:tc>
        <w:tc>
          <w:tcPr>
            <w:tcW w:w="554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6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常用流量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Q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（m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/h）</w:t>
            </w:r>
          </w:p>
        </w:tc>
        <w:tc>
          <w:tcPr>
            <w:tcW w:w="55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55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55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55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55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55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250</w:t>
            </w:r>
          </w:p>
        </w:tc>
        <w:tc>
          <w:tcPr>
            <w:tcW w:w="554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6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分界流量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Q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（m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/h）</w:t>
            </w:r>
          </w:p>
        </w:tc>
        <w:tc>
          <w:tcPr>
            <w:tcW w:w="55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0.4</w:t>
            </w:r>
          </w:p>
        </w:tc>
        <w:tc>
          <w:tcPr>
            <w:tcW w:w="55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0.32</w:t>
            </w:r>
          </w:p>
        </w:tc>
        <w:tc>
          <w:tcPr>
            <w:tcW w:w="55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0.32</w:t>
            </w:r>
          </w:p>
        </w:tc>
        <w:tc>
          <w:tcPr>
            <w:tcW w:w="55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0.504</w:t>
            </w:r>
          </w:p>
        </w:tc>
        <w:tc>
          <w:tcPr>
            <w:tcW w:w="55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0.8</w:t>
            </w:r>
          </w:p>
        </w:tc>
        <w:tc>
          <w:tcPr>
            <w:tcW w:w="55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2.0</w:t>
            </w:r>
          </w:p>
        </w:tc>
        <w:tc>
          <w:tcPr>
            <w:tcW w:w="554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6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最小流量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Q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（m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/h）</w:t>
            </w:r>
          </w:p>
        </w:tc>
        <w:tc>
          <w:tcPr>
            <w:tcW w:w="55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0.25</w:t>
            </w:r>
          </w:p>
        </w:tc>
        <w:tc>
          <w:tcPr>
            <w:tcW w:w="55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0.20</w:t>
            </w:r>
          </w:p>
        </w:tc>
        <w:tc>
          <w:tcPr>
            <w:tcW w:w="55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0.20</w:t>
            </w:r>
          </w:p>
        </w:tc>
        <w:tc>
          <w:tcPr>
            <w:tcW w:w="55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0.32</w:t>
            </w:r>
          </w:p>
        </w:tc>
        <w:tc>
          <w:tcPr>
            <w:tcW w:w="55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0.5</w:t>
            </w:r>
          </w:p>
        </w:tc>
        <w:tc>
          <w:tcPr>
            <w:tcW w:w="55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1.25</w:t>
            </w:r>
          </w:p>
        </w:tc>
        <w:tc>
          <w:tcPr>
            <w:tcW w:w="554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6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水量最小读数（m3）</w:t>
            </w:r>
          </w:p>
        </w:tc>
        <w:tc>
          <w:tcPr>
            <w:tcW w:w="3863" w:type="pct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0.0005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6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水量最大读数（m3）</w:t>
            </w:r>
          </w:p>
        </w:tc>
        <w:tc>
          <w:tcPr>
            <w:tcW w:w="3863" w:type="pct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999,999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6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最高工作压力</w:t>
            </w:r>
          </w:p>
        </w:tc>
        <w:tc>
          <w:tcPr>
            <w:tcW w:w="3863" w:type="pct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"/>
              </w:rPr>
              <w:t>1.0 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6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总压力损失</w:t>
            </w:r>
          </w:p>
        </w:tc>
        <w:tc>
          <w:tcPr>
            <w:tcW w:w="3863" w:type="pct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  <w:t>Δ</w:t>
            </w:r>
            <w:r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"/>
              </w:rPr>
              <w:t xml:space="preserve">P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≤ 0.063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6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准确度等级</w:t>
            </w:r>
          </w:p>
        </w:tc>
        <w:tc>
          <w:tcPr>
            <w:tcW w:w="3863" w:type="pct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6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温度等级</w:t>
            </w:r>
          </w:p>
        </w:tc>
        <w:tc>
          <w:tcPr>
            <w:tcW w:w="3863" w:type="pct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"/>
              </w:rPr>
              <w:t>T30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6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防护等级</w:t>
            </w:r>
          </w:p>
        </w:tc>
        <w:tc>
          <w:tcPr>
            <w:tcW w:w="3863" w:type="pct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IP68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6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静态工作电流</w:t>
            </w:r>
          </w:p>
        </w:tc>
        <w:tc>
          <w:tcPr>
            <w:tcW w:w="3863" w:type="pct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≤5µA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6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电池类型</w:t>
            </w:r>
          </w:p>
        </w:tc>
        <w:tc>
          <w:tcPr>
            <w:tcW w:w="3863" w:type="pct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3.6V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锂电池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6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电池工作时间</w:t>
            </w:r>
          </w:p>
        </w:tc>
        <w:tc>
          <w:tcPr>
            <w:tcW w:w="3863" w:type="pct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≥6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6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量程比</w:t>
            </w:r>
          </w:p>
        </w:tc>
        <w:tc>
          <w:tcPr>
            <w:tcW w:w="3863" w:type="pct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R200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6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通讯方式</w:t>
            </w:r>
          </w:p>
        </w:tc>
        <w:tc>
          <w:tcPr>
            <w:tcW w:w="3863" w:type="pct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4G</w:t>
            </w:r>
          </w:p>
        </w:tc>
      </w:tr>
    </w:tbl>
    <w:p>
      <w:pPr>
        <w:spacing w:line="240" w:lineRule="atLeast"/>
        <w:contextualSpacing/>
        <w:jc w:val="both"/>
        <w:rPr>
          <w:rFonts w:hint="eastAsia"/>
          <w:b/>
          <w:sz w:val="20"/>
          <w:lang w:val="en-US" w:eastAsia="zh-CN"/>
        </w:rPr>
      </w:pPr>
    </w:p>
    <w:p>
      <w:pPr>
        <w:spacing w:line="240" w:lineRule="atLeast"/>
        <w:contextualSpacing/>
        <w:jc w:val="both"/>
        <w:rPr>
          <w:rFonts w:hint="eastAsia"/>
          <w:b/>
          <w:sz w:val="20"/>
          <w:lang w:val="en-US" w:eastAsia="zh-CN"/>
        </w:rPr>
      </w:pPr>
    </w:p>
    <w:p>
      <w:pPr>
        <w:spacing w:line="240" w:lineRule="atLeast"/>
        <w:contextualSpacing/>
        <w:jc w:val="both"/>
        <w:rPr>
          <w:rFonts w:hint="default"/>
          <w:sz w:val="20"/>
          <w:lang w:val="en-US"/>
        </w:rPr>
      </w:pPr>
      <w:r>
        <w:rPr>
          <w:rFonts w:hint="eastAsia"/>
          <w:b/>
          <w:sz w:val="20"/>
          <w:lang w:val="en-US" w:eastAsia="zh-CN"/>
        </w:rPr>
        <w:t>五、外观及尺寸</w:t>
      </w:r>
    </w:p>
    <w:p>
      <w:pPr>
        <w:spacing w:line="240" w:lineRule="atLeast"/>
        <w:ind w:firstLine="3200" w:firstLineChars="1600"/>
        <w:contextualSpacing/>
        <w:jc w:val="both"/>
        <w:rPr>
          <w:sz w:val="20"/>
        </w:rPr>
      </w:pPr>
      <w:r>
        <w:rPr>
          <w:rFonts w:hint="eastAsia"/>
          <w:sz w:val="20"/>
        </w:rPr>
        <w:t>图1  水表外观</w:t>
      </w:r>
    </w:p>
    <w:p>
      <w:pPr>
        <w:spacing w:line="240" w:lineRule="atLeast"/>
        <w:contextualSpacing/>
        <w:jc w:val="both"/>
        <w:rPr>
          <w:rFonts w:hint="eastAsia"/>
          <w:sz w:val="20"/>
        </w:rPr>
      </w:pPr>
      <w:r>
        <w:rPr>
          <w:rFonts w:asciiTheme="minorEastAsia" w:hAnsiTheme="minorEastAsia"/>
          <w:b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1105535</wp:posOffset>
            </wp:positionH>
            <wp:positionV relativeFrom="paragraph">
              <wp:posOffset>92075</wp:posOffset>
            </wp:positionV>
            <wp:extent cx="2630805" cy="2440305"/>
            <wp:effectExtent l="0" t="0" r="10795" b="10795"/>
            <wp:wrapSquare wrapText="bothSides"/>
            <wp:docPr id="11" name="图片 2" descr="QQ图片2016051014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QQ图片201605101400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45587" b="8987"/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244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tLeast"/>
        <w:contextualSpacing/>
        <w:jc w:val="both"/>
        <w:rPr>
          <w:rFonts w:hint="eastAsia"/>
          <w:sz w:val="20"/>
        </w:rPr>
      </w:pPr>
    </w:p>
    <w:p>
      <w:pPr>
        <w:spacing w:line="240" w:lineRule="atLeast"/>
        <w:contextualSpacing/>
        <w:jc w:val="both"/>
        <w:rPr>
          <w:rFonts w:hint="eastAsia"/>
          <w:sz w:val="20"/>
        </w:rPr>
      </w:pPr>
    </w:p>
    <w:p>
      <w:pPr>
        <w:spacing w:line="240" w:lineRule="atLeast"/>
        <w:contextualSpacing/>
        <w:jc w:val="both"/>
        <w:rPr>
          <w:rFonts w:hint="eastAsia"/>
          <w:sz w:val="20"/>
        </w:rPr>
      </w:pPr>
    </w:p>
    <w:p>
      <w:pPr>
        <w:spacing w:line="240" w:lineRule="atLeast"/>
        <w:contextualSpacing/>
        <w:jc w:val="both"/>
        <w:rPr>
          <w:rFonts w:hint="eastAsia"/>
          <w:sz w:val="20"/>
        </w:rPr>
      </w:pPr>
    </w:p>
    <w:p>
      <w:pPr>
        <w:spacing w:line="240" w:lineRule="atLeast"/>
        <w:contextualSpacing/>
        <w:jc w:val="both"/>
        <w:rPr>
          <w:rFonts w:hint="eastAsia"/>
          <w:sz w:val="20"/>
        </w:rPr>
      </w:pPr>
    </w:p>
    <w:p>
      <w:pPr>
        <w:spacing w:line="240" w:lineRule="atLeast"/>
        <w:contextualSpacing/>
        <w:jc w:val="both"/>
        <w:rPr>
          <w:rFonts w:hint="eastAsia"/>
          <w:sz w:val="20"/>
        </w:rPr>
      </w:pPr>
    </w:p>
    <w:p>
      <w:pPr>
        <w:spacing w:line="240" w:lineRule="atLeast"/>
        <w:contextualSpacing/>
        <w:jc w:val="both"/>
        <w:rPr>
          <w:rFonts w:hint="eastAsia"/>
          <w:sz w:val="20"/>
        </w:rPr>
      </w:pPr>
    </w:p>
    <w:p>
      <w:pPr>
        <w:spacing w:line="240" w:lineRule="atLeast"/>
        <w:contextualSpacing/>
        <w:jc w:val="both"/>
        <w:rPr>
          <w:rFonts w:hint="eastAsia"/>
          <w:sz w:val="20"/>
        </w:rPr>
      </w:pPr>
    </w:p>
    <w:p>
      <w:pPr>
        <w:spacing w:line="240" w:lineRule="atLeast"/>
        <w:ind w:firstLine="2600" w:firstLineChars="1300"/>
        <w:contextualSpacing/>
        <w:jc w:val="both"/>
        <w:rPr>
          <w:rFonts w:hint="eastAsia"/>
          <w:sz w:val="20"/>
        </w:rPr>
      </w:pPr>
    </w:p>
    <w:p>
      <w:pPr>
        <w:spacing w:line="240" w:lineRule="atLeast"/>
        <w:ind w:firstLine="2600" w:firstLineChars="1300"/>
        <w:contextualSpacing/>
        <w:jc w:val="both"/>
        <w:rPr>
          <w:rFonts w:hint="eastAsia"/>
          <w:sz w:val="20"/>
        </w:rPr>
      </w:pPr>
    </w:p>
    <w:p>
      <w:pPr>
        <w:spacing w:line="240" w:lineRule="atLeast"/>
        <w:ind w:firstLine="2600" w:firstLineChars="1300"/>
        <w:contextualSpacing/>
        <w:jc w:val="both"/>
        <w:rPr>
          <w:rFonts w:hint="eastAsia"/>
          <w:sz w:val="20"/>
        </w:rPr>
      </w:pPr>
    </w:p>
    <w:p>
      <w:pPr>
        <w:spacing w:line="240" w:lineRule="atLeast"/>
        <w:ind w:firstLine="2600" w:firstLineChars="1300"/>
        <w:contextualSpacing/>
        <w:jc w:val="both"/>
        <w:rPr>
          <w:rFonts w:hint="eastAsia"/>
          <w:sz w:val="20"/>
        </w:rPr>
      </w:pPr>
    </w:p>
    <w:p>
      <w:pPr>
        <w:spacing w:line="240" w:lineRule="atLeast"/>
        <w:ind w:firstLine="2600" w:firstLineChars="1300"/>
        <w:contextualSpacing/>
        <w:jc w:val="both"/>
        <w:rPr>
          <w:rFonts w:hint="eastAsia"/>
          <w:sz w:val="20"/>
        </w:rPr>
      </w:pPr>
    </w:p>
    <w:p>
      <w:pPr>
        <w:spacing w:line="240" w:lineRule="atLeast"/>
        <w:ind w:firstLine="2600" w:firstLineChars="1300"/>
        <w:contextualSpacing/>
        <w:jc w:val="both"/>
        <w:rPr>
          <w:rFonts w:hint="default" w:eastAsiaTheme="minorEastAsia"/>
          <w:sz w:val="20"/>
          <w:lang w:val="en-US" w:eastAsia="zh-CN"/>
        </w:rPr>
      </w:pPr>
      <w:r>
        <w:rPr>
          <w:rFonts w:hint="eastAsia"/>
          <w:sz w:val="20"/>
        </w:rPr>
        <w:t>表</w:t>
      </w:r>
      <w:r>
        <w:rPr>
          <w:rFonts w:hint="eastAsia"/>
          <w:sz w:val="20"/>
          <w:lang w:val="en-US" w:eastAsia="zh-CN"/>
        </w:rPr>
        <w:t>2</w:t>
      </w:r>
      <w:r>
        <w:rPr>
          <w:rFonts w:hint="eastAsia"/>
          <w:sz w:val="20"/>
        </w:rPr>
        <w:t>：产品</w:t>
      </w:r>
      <w:r>
        <w:rPr>
          <w:rFonts w:hint="eastAsia"/>
          <w:sz w:val="20"/>
          <w:lang w:val="en-US" w:eastAsia="zh-CN"/>
        </w:rPr>
        <w:t>安装尺寸图</w:t>
      </w:r>
    </w:p>
    <w:p>
      <w:pPr>
        <w:spacing w:line="240" w:lineRule="atLeast"/>
        <w:ind w:firstLine="3000" w:firstLineChars="1500"/>
        <w:contextualSpacing/>
        <w:jc w:val="both"/>
        <w:rPr>
          <w:rFonts w:hint="eastAsia"/>
          <w:sz w:val="20"/>
        </w:rPr>
      </w:pP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816"/>
        <w:gridCol w:w="695"/>
        <w:gridCol w:w="1056"/>
        <w:gridCol w:w="576"/>
        <w:gridCol w:w="1180"/>
        <w:gridCol w:w="1056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型号</w:t>
            </w:r>
          </w:p>
        </w:tc>
        <w:tc>
          <w:tcPr>
            <w:tcW w:w="5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口径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DN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(mm）</w:t>
            </w:r>
          </w:p>
        </w:tc>
        <w:tc>
          <w:tcPr>
            <w:tcW w:w="4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高度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H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(mm)</w:t>
            </w:r>
          </w:p>
        </w:tc>
        <w:tc>
          <w:tcPr>
            <w:tcW w:w="6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长度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L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(mm)</w:t>
            </w:r>
          </w:p>
        </w:tc>
        <w:tc>
          <w:tcPr>
            <w:tcW w:w="3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拆卸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高度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&gt;G</w:t>
            </w:r>
          </w:p>
        </w:tc>
        <w:tc>
          <w:tcPr>
            <w:tcW w:w="23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连接法兰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法兰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直径D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螺栓孔中心圆直径D1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连接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螺栓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数量（只）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8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13"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13"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垂直螺翼式水表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230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280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268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110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4×M16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230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280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268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165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125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4×M16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230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300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268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185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145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4×M16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285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370/225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344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200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160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8(4)×M16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300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370/250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350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220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180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8×M16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440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500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565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285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240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8×M20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200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520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500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681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340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295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contextualSpacing w:val="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8×M20</w:t>
            </w:r>
          </w:p>
        </w:tc>
      </w:tr>
    </w:tbl>
    <w:p>
      <w:pPr>
        <w:spacing w:line="240" w:lineRule="atLeast"/>
        <w:contextualSpacing/>
        <w:jc w:val="center"/>
        <w:rPr>
          <w:sz w:val="20"/>
        </w:rPr>
      </w:pPr>
    </w:p>
    <w:p>
      <w:pPr>
        <w:spacing w:line="240" w:lineRule="atLeast"/>
        <w:contextualSpacing/>
        <w:jc w:val="center"/>
        <w:rPr>
          <w:sz w:val="20"/>
        </w:rPr>
      </w:pP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240" w:lineRule="atLeast"/>
        <w:ind w:right="0" w:rightChars="0"/>
        <w:contextualSpacing/>
        <w:jc w:val="both"/>
        <w:rPr>
          <w:rFonts w:hint="eastAsia" w:ascii="宋体" w:hAnsi="宋体" w:eastAsia="宋体" w:cs="宋体"/>
          <w:b/>
          <w:bCs w:val="0"/>
          <w:kern w:val="2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20"/>
          <w:szCs w:val="20"/>
          <w:lang w:val="en-US" w:eastAsia="zh-CN" w:bidi="ar"/>
        </w:rPr>
        <w:t>安装注意事项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contextualSpacing/>
        <w:jc w:val="both"/>
        <w:rPr>
          <w:rFonts w:hint="eastAsia" w:ascii="宋体" w:hAnsi="宋体" w:eastAsia="宋体" w:cs="宋体"/>
          <w:b/>
          <w:bCs w:val="0"/>
          <w:kern w:val="2"/>
          <w:sz w:val="20"/>
          <w:szCs w:val="20"/>
          <w:lang w:val="en-US" w:eastAsia="zh-CN" w:bidi="ar"/>
        </w:rPr>
      </w:pPr>
    </w:p>
    <w:p>
      <w:pPr>
        <w:pStyle w:val="10"/>
        <w:numPr>
          <w:ilvl w:val="0"/>
          <w:numId w:val="3"/>
        </w:numPr>
        <w:spacing w:line="240" w:lineRule="atLeast"/>
        <w:ind w:firstLineChars="0"/>
        <w:contextualSpacing/>
        <w:rPr>
          <w:rFonts w:hint="eastAsia"/>
          <w:sz w:val="20"/>
        </w:rPr>
      </w:pPr>
      <w:r>
        <w:rPr>
          <w:rFonts w:hint="eastAsia"/>
          <w:sz w:val="20"/>
          <w:lang w:val="en-US" w:eastAsia="zh-CN"/>
        </w:rPr>
        <w:t>本产品适用型号是依据系统流量而不是系统管径来决定，应该按照常用流量大小来决定水表的公称口径与型号；</w:t>
      </w:r>
    </w:p>
    <w:p>
      <w:pPr>
        <w:pStyle w:val="10"/>
        <w:numPr>
          <w:ilvl w:val="0"/>
          <w:numId w:val="3"/>
        </w:numPr>
        <w:spacing w:line="240" w:lineRule="atLeast"/>
        <w:ind w:firstLineChars="0"/>
        <w:contextualSpacing/>
        <w:rPr>
          <w:rFonts w:hint="eastAsia"/>
          <w:sz w:val="20"/>
        </w:rPr>
      </w:pPr>
      <w:r>
        <w:rPr>
          <w:rFonts w:hint="eastAsia"/>
          <w:sz w:val="20"/>
        </w:rPr>
        <w:t>水表安装时表壳箭头方向必须与水流方向一致</w:t>
      </w:r>
      <w:r>
        <w:rPr>
          <w:rFonts w:hint="eastAsia"/>
          <w:sz w:val="20"/>
          <w:lang w:eastAsia="zh-CN"/>
        </w:rPr>
        <w:t>；</w:t>
      </w:r>
    </w:p>
    <w:p>
      <w:pPr>
        <w:pStyle w:val="10"/>
        <w:numPr>
          <w:ilvl w:val="0"/>
          <w:numId w:val="3"/>
        </w:numPr>
        <w:spacing w:line="240" w:lineRule="atLeast"/>
        <w:ind w:firstLineChars="0"/>
        <w:contextualSpacing/>
        <w:rPr>
          <w:rFonts w:hint="eastAsia"/>
          <w:sz w:val="20"/>
          <w:lang w:val="en-US" w:eastAsia="zh-CN"/>
        </w:rPr>
      </w:pPr>
      <w:r>
        <w:rPr>
          <w:rFonts w:hint="eastAsia"/>
          <w:sz w:val="20"/>
          <w:lang w:val="en-US" w:eastAsia="zh-CN"/>
        </w:rPr>
        <w:t>安装位置要避免暴晒、冰冻、污染、潮湿和水淹，寒冬季节应采取保温措施；</w:t>
      </w:r>
    </w:p>
    <w:p>
      <w:pPr>
        <w:pStyle w:val="10"/>
        <w:numPr>
          <w:ilvl w:val="0"/>
          <w:numId w:val="3"/>
        </w:numPr>
        <w:spacing w:line="240" w:lineRule="atLeast"/>
        <w:ind w:firstLineChars="0"/>
        <w:contextualSpacing/>
        <w:rPr>
          <w:rFonts w:hint="eastAsia"/>
          <w:sz w:val="20"/>
        </w:rPr>
      </w:pPr>
      <w:r>
        <w:rPr>
          <w:rFonts w:hint="eastAsia"/>
          <w:sz w:val="20"/>
          <w:lang w:val="en-US" w:eastAsia="zh-CN"/>
        </w:rPr>
        <w:t>水表要尽量选择便于拆装和观察读数的位置安装，供水前必须在表前后安装阀</w:t>
      </w:r>
    </w:p>
    <w:p>
      <w:pPr>
        <w:pStyle w:val="10"/>
        <w:numPr>
          <w:ilvl w:val="0"/>
          <w:numId w:val="3"/>
        </w:numPr>
        <w:spacing w:line="240" w:lineRule="atLeast"/>
        <w:ind w:firstLineChars="0"/>
        <w:contextualSpacing/>
        <w:rPr>
          <w:rFonts w:hint="eastAsia"/>
          <w:sz w:val="20"/>
        </w:rPr>
      </w:pPr>
      <w:r>
        <w:rPr>
          <w:rFonts w:hint="eastAsia"/>
          <w:sz w:val="20"/>
        </w:rPr>
        <w:t>安装水表时，需在水表进水端安装止回阀，防止水回流损毁水表</w:t>
      </w:r>
      <w:r>
        <w:rPr>
          <w:rFonts w:hint="eastAsia"/>
          <w:sz w:val="20"/>
          <w:lang w:eastAsia="zh-CN"/>
        </w:rPr>
        <w:t>；</w:t>
      </w:r>
    </w:p>
    <w:p>
      <w:pPr>
        <w:pStyle w:val="10"/>
        <w:numPr>
          <w:ilvl w:val="0"/>
          <w:numId w:val="3"/>
        </w:numPr>
        <w:spacing w:line="240" w:lineRule="atLeast"/>
        <w:ind w:firstLineChars="0"/>
        <w:contextualSpacing/>
        <w:rPr>
          <w:rFonts w:hint="eastAsia"/>
          <w:sz w:val="20"/>
        </w:rPr>
      </w:pPr>
      <w:r>
        <w:rPr>
          <w:rFonts w:hint="eastAsia"/>
          <w:sz w:val="20"/>
          <w:lang w:val="en-US" w:eastAsia="zh-CN"/>
        </w:rPr>
        <w:t>采用水平安装方式，尽量避免安装在管路转弯的位置；</w:t>
      </w:r>
    </w:p>
    <w:p>
      <w:pPr>
        <w:pStyle w:val="10"/>
        <w:numPr>
          <w:ilvl w:val="0"/>
          <w:numId w:val="3"/>
        </w:numPr>
        <w:spacing w:line="240" w:lineRule="atLeast"/>
        <w:ind w:firstLineChars="0"/>
        <w:contextualSpacing/>
        <w:rPr>
          <w:rFonts w:hint="eastAsia"/>
          <w:sz w:val="20"/>
        </w:rPr>
      </w:pPr>
      <w:r>
        <w:rPr>
          <w:rFonts w:hint="eastAsia"/>
          <w:sz w:val="20"/>
          <w:lang w:val="en-US" w:eastAsia="zh-CN"/>
        </w:rPr>
        <w:t>机械式基表如需倾斜安装，倾斜角度控制在30度以内，超过规定的倾斜角度，水表计量精度无法保证在标定精度内；</w:t>
      </w:r>
    </w:p>
    <w:p>
      <w:pPr>
        <w:pStyle w:val="10"/>
        <w:numPr>
          <w:ilvl w:val="0"/>
          <w:numId w:val="3"/>
        </w:numPr>
        <w:spacing w:line="240" w:lineRule="atLeast"/>
        <w:ind w:firstLineChars="0"/>
        <w:contextualSpacing/>
        <w:rPr>
          <w:rFonts w:hint="eastAsia"/>
          <w:sz w:val="20"/>
        </w:rPr>
      </w:pPr>
      <w:r>
        <w:rPr>
          <w:rFonts w:hint="eastAsia"/>
          <w:sz w:val="20"/>
          <w:lang w:val="en-US" w:eastAsia="zh-CN"/>
        </w:rPr>
        <w:t>电子计量部分的外置天线，需置于水表井最上方贴近井盖的位置，如无法悬挂则在井盖边缘打孔，放置天线支架，在距离地表5-10CM处固定天线，太深可能会导致信号无法覆盖，水表数据无法传输；</w:t>
      </w:r>
    </w:p>
    <w:p>
      <w:pPr>
        <w:pStyle w:val="10"/>
        <w:numPr>
          <w:ilvl w:val="0"/>
          <w:numId w:val="3"/>
        </w:numPr>
        <w:spacing w:line="240" w:lineRule="atLeast"/>
        <w:ind w:firstLineChars="0"/>
        <w:contextualSpacing/>
        <w:rPr>
          <w:rFonts w:hint="eastAsia"/>
          <w:sz w:val="20"/>
        </w:rPr>
      </w:pPr>
      <w:r>
        <w:rPr>
          <w:rFonts w:hint="eastAsia"/>
          <w:sz w:val="20"/>
          <w:lang w:val="en-US" w:eastAsia="zh-CN"/>
        </w:rPr>
        <w:t>电子计量部分的分体表头，需配合分体壳挂件，单独悬挂到高处，泡水可能性小的位置，确保安装牢固，避免掉入井底；</w:t>
      </w:r>
    </w:p>
    <w:p>
      <w:pPr>
        <w:pStyle w:val="10"/>
        <w:numPr>
          <w:ilvl w:val="0"/>
          <w:numId w:val="3"/>
        </w:numPr>
        <w:spacing w:line="240" w:lineRule="atLeast"/>
        <w:ind w:firstLineChars="0"/>
        <w:contextualSpacing/>
        <w:rPr>
          <w:rFonts w:hint="eastAsia"/>
          <w:sz w:val="20"/>
        </w:rPr>
      </w:pPr>
      <w:r>
        <w:rPr>
          <w:rFonts w:hint="eastAsia"/>
          <w:sz w:val="20"/>
          <w:lang w:val="en-US" w:eastAsia="zh-CN"/>
        </w:rPr>
        <w:t>水表应安装在远离水泵、电机、等强磁场的环境；</w:t>
      </w:r>
    </w:p>
    <w:p>
      <w:pPr>
        <w:pStyle w:val="10"/>
        <w:numPr>
          <w:ilvl w:val="0"/>
          <w:numId w:val="3"/>
        </w:numPr>
        <w:spacing w:line="240" w:lineRule="atLeast"/>
        <w:ind w:firstLineChars="0"/>
        <w:contextualSpacing/>
        <w:rPr>
          <w:rFonts w:hint="eastAsia"/>
          <w:sz w:val="20"/>
        </w:rPr>
      </w:pPr>
      <w:r>
        <w:rPr>
          <w:rFonts w:hint="eastAsia"/>
          <w:sz w:val="20"/>
          <w:lang w:val="en-US" w:eastAsia="zh-CN"/>
        </w:rPr>
        <w:t>本产品属于精密计量器具，需轻拿轻放，不得使用硬物碰撞表具，禁止提拽表头（含分体头），禁止挤压天线和信号线；</w:t>
      </w:r>
    </w:p>
    <w:p>
      <w:pPr>
        <w:pStyle w:val="10"/>
        <w:numPr>
          <w:ilvl w:val="0"/>
          <w:numId w:val="3"/>
        </w:numPr>
        <w:spacing w:line="240" w:lineRule="atLeast"/>
        <w:ind w:firstLineChars="0"/>
        <w:contextualSpacing/>
        <w:rPr>
          <w:rFonts w:hint="eastAsia"/>
          <w:sz w:val="20"/>
        </w:rPr>
      </w:pPr>
      <w:r>
        <w:rPr>
          <w:rFonts w:hint="eastAsia"/>
          <w:sz w:val="20"/>
          <w:lang w:val="en-US" w:eastAsia="zh-CN"/>
        </w:rPr>
        <w:t xml:space="preserve">严禁靠近较高温度热源（如电气焊），以免损坏表具，影响正常使用；  </w:t>
      </w:r>
    </w:p>
    <w:p>
      <w:pPr>
        <w:pStyle w:val="10"/>
        <w:numPr>
          <w:ilvl w:val="0"/>
          <w:numId w:val="3"/>
        </w:numPr>
        <w:spacing w:line="240" w:lineRule="atLeast"/>
        <w:ind w:firstLineChars="0"/>
        <w:contextualSpacing/>
        <w:rPr>
          <w:rFonts w:hint="eastAsia"/>
          <w:sz w:val="20"/>
        </w:rPr>
      </w:pPr>
      <w:r>
        <w:rPr>
          <w:rFonts w:hint="eastAsia"/>
          <w:sz w:val="20"/>
        </w:rPr>
        <w:t>注意安装预留尺寸必须符合水表外形尺寸安装要求</w:t>
      </w:r>
      <w:r>
        <w:rPr>
          <w:rFonts w:hint="eastAsia"/>
          <w:sz w:val="20"/>
          <w:lang w:eastAsia="zh-CN"/>
        </w:rPr>
        <w:t>，</w:t>
      </w:r>
      <w:r>
        <w:rPr>
          <w:rFonts w:hint="eastAsia"/>
          <w:sz w:val="20"/>
          <w:lang w:val="en-US" w:eastAsia="zh-CN"/>
        </w:rPr>
        <w:t>以免</w:t>
      </w:r>
      <w:r>
        <w:rPr>
          <w:rFonts w:hint="eastAsia"/>
          <w:sz w:val="20"/>
        </w:rPr>
        <w:t>水表外壳受力损坏</w:t>
      </w:r>
      <w:r>
        <w:rPr>
          <w:rFonts w:hint="eastAsia"/>
          <w:sz w:val="20"/>
          <w:lang w:eastAsia="zh-CN"/>
        </w:rPr>
        <w:t>；</w:t>
      </w:r>
    </w:p>
    <w:p>
      <w:pPr>
        <w:pStyle w:val="10"/>
        <w:numPr>
          <w:ilvl w:val="0"/>
          <w:numId w:val="3"/>
        </w:numPr>
        <w:spacing w:line="240" w:lineRule="atLeast"/>
        <w:ind w:firstLineChars="0"/>
        <w:contextualSpacing/>
        <w:rPr>
          <w:rFonts w:hint="eastAsia"/>
          <w:sz w:val="20"/>
        </w:rPr>
      </w:pPr>
      <w:r>
        <w:rPr>
          <w:rFonts w:hint="eastAsia"/>
          <w:sz w:val="20"/>
        </w:rPr>
        <w:t>非指定专业人员不得私自拆卸或维修本产品</w:t>
      </w:r>
      <w:r>
        <w:rPr>
          <w:rFonts w:hint="eastAsia"/>
          <w:sz w:val="20"/>
          <w:lang w:eastAsia="zh-CN"/>
        </w:rPr>
        <w:t>，</w:t>
      </w:r>
      <w:r>
        <w:rPr>
          <w:rFonts w:hint="eastAsia"/>
          <w:sz w:val="20"/>
          <w:lang w:val="en-US" w:eastAsia="zh-CN"/>
        </w:rPr>
        <w:t>否则</w:t>
      </w:r>
      <w:r>
        <w:rPr>
          <w:rFonts w:hint="eastAsia"/>
          <w:sz w:val="20"/>
        </w:rPr>
        <w:t>责任自负。</w:t>
      </w:r>
    </w:p>
    <w:p>
      <w:pPr>
        <w:pStyle w:val="10"/>
        <w:numPr>
          <w:ilvl w:val="0"/>
          <w:numId w:val="0"/>
        </w:numPr>
        <w:spacing w:line="240" w:lineRule="atLeast"/>
        <w:ind w:leftChars="0"/>
        <w:contextualSpacing/>
        <w:rPr>
          <w:rFonts w:hint="eastAsia"/>
          <w:sz w:val="20"/>
        </w:rPr>
      </w:pPr>
    </w:p>
    <w:p>
      <w:pPr>
        <w:keepNext w:val="0"/>
        <w:keepLines w:val="0"/>
        <w:widowControl w:val="0"/>
        <w:numPr>
          <w:ilvl w:val="0"/>
          <w:numId w:val="4"/>
        </w:numPr>
        <w:suppressLineNumbers w:val="0"/>
        <w:spacing w:before="0" w:beforeAutospacing="0" w:after="0" w:afterAutospacing="0" w:line="240" w:lineRule="atLeast"/>
        <w:ind w:left="0" w:right="0" w:rightChars="0"/>
        <w:contextualSpacing/>
        <w:jc w:val="both"/>
        <w:rPr>
          <w:rFonts w:hint="eastAsia" w:ascii="宋体" w:hAnsi="宋体" w:eastAsia="宋体" w:cs="宋体"/>
          <w:b/>
          <w:bCs w:val="0"/>
          <w:kern w:val="2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20"/>
          <w:szCs w:val="20"/>
          <w:lang w:val="en-US" w:eastAsia="zh-CN" w:bidi="ar"/>
        </w:rPr>
        <w:t>使用注意事项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contextualSpacing/>
        <w:jc w:val="both"/>
        <w:rPr>
          <w:rFonts w:hint="eastAsia" w:ascii="宋体" w:hAnsi="宋体" w:eastAsia="宋体" w:cs="宋体"/>
          <w:b/>
          <w:bCs w:val="0"/>
          <w:kern w:val="2"/>
          <w:sz w:val="20"/>
          <w:szCs w:val="20"/>
          <w:lang w:val="en-US" w:eastAsia="zh-CN" w:bidi="ar"/>
        </w:rPr>
      </w:pPr>
    </w:p>
    <w:p>
      <w:pPr>
        <w:pStyle w:val="10"/>
        <w:numPr>
          <w:ilvl w:val="0"/>
          <w:numId w:val="0"/>
        </w:numPr>
        <w:spacing w:line="240" w:lineRule="atLeast"/>
        <w:contextualSpacing/>
        <w:rPr>
          <w:rFonts w:hint="eastAsia"/>
          <w:sz w:val="20"/>
          <w:lang w:val="en-US" w:eastAsia="zh-CN"/>
        </w:rPr>
      </w:pPr>
      <w:r>
        <w:rPr>
          <w:rFonts w:hint="eastAsia"/>
          <w:sz w:val="20"/>
          <w:lang w:val="en-US" w:eastAsia="zh-CN"/>
        </w:rPr>
        <w:t>1、水表基表内部属于机械式结构，请避免管道内进入石子、泥沙、麻丝等杂物，以免造成不必要的产品故障；</w:t>
      </w:r>
    </w:p>
    <w:p>
      <w:pPr>
        <w:pStyle w:val="10"/>
        <w:numPr>
          <w:ilvl w:val="0"/>
          <w:numId w:val="0"/>
        </w:numPr>
        <w:spacing w:line="240" w:lineRule="atLeast"/>
        <w:contextualSpacing/>
        <w:rPr>
          <w:rFonts w:hint="eastAsia"/>
          <w:sz w:val="20"/>
          <w:lang w:val="en-US" w:eastAsia="zh-CN"/>
        </w:rPr>
      </w:pPr>
      <w:r>
        <w:rPr>
          <w:rFonts w:hint="eastAsia"/>
          <w:sz w:val="20"/>
          <w:lang w:val="en-US" w:eastAsia="zh-CN"/>
        </w:rPr>
        <w:t>2、确保管道内无气泡产生源，以免造成水表空转；</w:t>
      </w:r>
    </w:p>
    <w:p>
      <w:pPr>
        <w:pStyle w:val="10"/>
        <w:numPr>
          <w:ilvl w:val="0"/>
          <w:numId w:val="0"/>
        </w:numPr>
        <w:spacing w:line="240" w:lineRule="atLeast"/>
        <w:ind w:leftChars="0"/>
        <w:contextualSpacing/>
        <w:rPr>
          <w:rFonts w:hint="eastAsia"/>
          <w:sz w:val="20"/>
          <w:lang w:val="en-US" w:eastAsia="zh-CN"/>
        </w:rPr>
      </w:pPr>
      <w:r>
        <w:rPr>
          <w:rFonts w:hint="eastAsia"/>
          <w:sz w:val="20"/>
          <w:lang w:val="en-US" w:eastAsia="zh-CN"/>
        </w:rPr>
        <w:t>3、保护好表体，严禁破坏，以免给您的计量造成影响；</w:t>
      </w:r>
    </w:p>
    <w:p>
      <w:pPr>
        <w:pStyle w:val="10"/>
        <w:numPr>
          <w:ilvl w:val="0"/>
          <w:numId w:val="0"/>
        </w:numPr>
        <w:spacing w:line="240" w:lineRule="atLeast"/>
        <w:ind w:leftChars="0"/>
        <w:contextualSpacing/>
        <w:rPr>
          <w:rFonts w:hint="eastAsia"/>
          <w:sz w:val="20"/>
          <w:lang w:val="en-US" w:eastAsia="zh-CN"/>
        </w:rPr>
      </w:pPr>
      <w:r>
        <w:rPr>
          <w:rFonts w:hint="eastAsia"/>
          <w:sz w:val="20"/>
          <w:lang w:val="en-US" w:eastAsia="zh-CN"/>
        </w:rPr>
        <w:t>4、避免强磁干扰，使基表内结构件磁化，造成计量水量出现偏差；</w:t>
      </w:r>
    </w:p>
    <w:p>
      <w:pPr>
        <w:pStyle w:val="10"/>
        <w:numPr>
          <w:ilvl w:val="0"/>
          <w:numId w:val="0"/>
        </w:numPr>
        <w:spacing w:line="240" w:lineRule="atLeast"/>
        <w:ind w:leftChars="0"/>
        <w:contextualSpacing/>
        <w:rPr>
          <w:rFonts w:hint="eastAsia"/>
          <w:sz w:val="20"/>
          <w:lang w:val="en-US" w:eastAsia="zh-CN"/>
        </w:rPr>
      </w:pPr>
      <w:r>
        <w:rPr>
          <w:rFonts w:hint="eastAsia"/>
          <w:sz w:val="20"/>
          <w:lang w:val="en-US" w:eastAsia="zh-CN"/>
        </w:rPr>
        <w:t>5、发现产品有异常情况，请及时反馈给管理部门。</w:t>
      </w:r>
    </w:p>
    <w:p>
      <w:pPr>
        <w:pStyle w:val="10"/>
        <w:numPr>
          <w:ilvl w:val="0"/>
          <w:numId w:val="0"/>
        </w:numPr>
        <w:spacing w:line="240" w:lineRule="atLeast"/>
        <w:ind w:leftChars="0"/>
        <w:contextualSpacing/>
        <w:rPr>
          <w:rFonts w:hint="eastAsia"/>
          <w:sz w:val="20"/>
          <w:lang w:val="en-US" w:eastAsia="zh-CN"/>
        </w:rPr>
      </w:pPr>
    </w:p>
    <w:p>
      <w:pPr>
        <w:keepNext w:val="0"/>
        <w:keepLines w:val="0"/>
        <w:widowControl w:val="0"/>
        <w:numPr>
          <w:ilvl w:val="0"/>
          <w:numId w:val="4"/>
        </w:numPr>
        <w:suppressLineNumbers w:val="0"/>
        <w:spacing w:before="0" w:beforeAutospacing="0" w:after="0" w:afterAutospacing="0" w:line="240" w:lineRule="atLeast"/>
        <w:ind w:left="0" w:leftChars="0" w:right="0" w:rightChars="0" w:firstLine="0" w:firstLineChars="0"/>
        <w:contextualSpacing/>
        <w:jc w:val="both"/>
        <w:rPr>
          <w:rFonts w:hint="eastAsia" w:ascii="宋体" w:hAnsi="宋体" w:eastAsia="宋体" w:cs="宋体"/>
          <w:b/>
          <w:bCs w:val="0"/>
          <w:kern w:val="2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20"/>
          <w:szCs w:val="20"/>
          <w:lang w:val="en-US" w:eastAsia="zh-CN" w:bidi="ar"/>
        </w:rPr>
        <w:t>产品质保条件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leftChars="0" w:right="0" w:rightChars="0"/>
        <w:contextualSpacing/>
        <w:jc w:val="both"/>
        <w:rPr>
          <w:rFonts w:hint="eastAsia" w:ascii="宋体" w:hAnsi="宋体" w:eastAsia="宋体" w:cs="宋体"/>
          <w:b/>
          <w:bCs w:val="0"/>
          <w:kern w:val="2"/>
          <w:sz w:val="20"/>
          <w:szCs w:val="20"/>
          <w:lang w:val="en-US" w:eastAsia="zh-CN" w:bidi="ar"/>
        </w:rPr>
      </w:pPr>
    </w:p>
    <w:p>
      <w:pPr>
        <w:pStyle w:val="10"/>
        <w:numPr>
          <w:ilvl w:val="0"/>
          <w:numId w:val="0"/>
        </w:numPr>
        <w:spacing w:line="240" w:lineRule="atLeast"/>
        <w:ind w:leftChars="0"/>
        <w:contextualSpacing/>
        <w:rPr>
          <w:rFonts w:hint="eastAsia"/>
          <w:b/>
          <w:bCs/>
          <w:sz w:val="20"/>
          <w:lang w:val="en-US" w:eastAsia="zh-CN"/>
        </w:rPr>
      </w:pPr>
      <w:r>
        <w:rPr>
          <w:rFonts w:hint="eastAsia"/>
          <w:b/>
          <w:bCs/>
          <w:sz w:val="20"/>
          <w:lang w:val="en-US" w:eastAsia="zh-CN"/>
        </w:rPr>
        <w:t>水表使用遵循以下行业、国家标准和检定规程：</w:t>
      </w:r>
    </w:p>
    <w:p>
      <w:pPr>
        <w:pStyle w:val="10"/>
        <w:numPr>
          <w:ilvl w:val="0"/>
          <w:numId w:val="0"/>
        </w:numPr>
        <w:spacing w:line="240" w:lineRule="atLeast"/>
        <w:ind w:leftChars="0"/>
        <w:contextualSpacing/>
        <w:rPr>
          <w:rFonts w:hint="eastAsia"/>
          <w:b/>
          <w:bCs/>
          <w:sz w:val="20"/>
          <w:lang w:val="en-US" w:eastAsia="zh-CN"/>
        </w:rPr>
      </w:pPr>
      <w:r>
        <w:rPr>
          <w:rFonts w:hint="eastAsia"/>
          <w:b/>
          <w:bCs/>
          <w:sz w:val="20"/>
          <w:lang w:val="en-US" w:eastAsia="zh-CN"/>
        </w:rPr>
        <w:t>水表相关行业标准：</w:t>
      </w:r>
    </w:p>
    <w:p>
      <w:pPr>
        <w:pStyle w:val="10"/>
        <w:numPr>
          <w:ilvl w:val="0"/>
          <w:numId w:val="0"/>
        </w:numPr>
        <w:spacing w:line="240" w:lineRule="atLeast"/>
        <w:ind w:leftChars="0"/>
        <w:contextualSpacing/>
        <w:rPr>
          <w:rFonts w:hint="eastAsia"/>
          <w:sz w:val="20"/>
          <w:lang w:val="en-US" w:eastAsia="zh-CN"/>
        </w:rPr>
      </w:pPr>
      <w:r>
        <w:rPr>
          <w:rFonts w:hint="eastAsia"/>
          <w:sz w:val="20"/>
          <w:lang w:val="en-US" w:eastAsia="zh-CN"/>
        </w:rPr>
        <w:t>IC卡水表CJ/T 133-2012《IC卡冷水水表》</w:t>
      </w:r>
    </w:p>
    <w:p>
      <w:pPr>
        <w:pStyle w:val="10"/>
        <w:numPr>
          <w:ilvl w:val="0"/>
          <w:numId w:val="0"/>
        </w:numPr>
        <w:spacing w:line="240" w:lineRule="atLeast"/>
        <w:ind w:leftChars="0"/>
        <w:contextualSpacing/>
        <w:rPr>
          <w:rFonts w:hint="eastAsia"/>
          <w:sz w:val="20"/>
          <w:lang w:val="en-US" w:eastAsia="zh-CN"/>
        </w:rPr>
      </w:pPr>
      <w:r>
        <w:rPr>
          <w:rFonts w:hint="eastAsia"/>
          <w:sz w:val="20"/>
          <w:lang w:val="en-US" w:eastAsia="zh-CN"/>
        </w:rPr>
        <w:t>电子远传水表CJ/T 224-2012《IC卡冷水水表》</w:t>
      </w:r>
    </w:p>
    <w:p>
      <w:pPr>
        <w:pStyle w:val="10"/>
        <w:numPr>
          <w:ilvl w:val="0"/>
          <w:numId w:val="0"/>
        </w:numPr>
        <w:spacing w:line="240" w:lineRule="atLeast"/>
        <w:ind w:leftChars="0"/>
        <w:contextualSpacing/>
        <w:rPr>
          <w:rFonts w:hint="eastAsia"/>
          <w:sz w:val="20"/>
          <w:lang w:val="en-US" w:eastAsia="zh-CN"/>
        </w:rPr>
      </w:pPr>
      <w:r>
        <w:rPr>
          <w:rFonts w:hint="eastAsia"/>
          <w:sz w:val="20"/>
          <w:lang w:val="en-US" w:eastAsia="zh-CN"/>
        </w:rPr>
        <w:t>超声波水表CJ/T 434-2013《超声波水表》</w:t>
      </w:r>
    </w:p>
    <w:p>
      <w:pPr>
        <w:pStyle w:val="10"/>
        <w:numPr>
          <w:ilvl w:val="0"/>
          <w:numId w:val="0"/>
        </w:numPr>
        <w:spacing w:line="240" w:lineRule="atLeast"/>
        <w:ind w:leftChars="0"/>
        <w:contextualSpacing/>
        <w:rPr>
          <w:rFonts w:hint="eastAsia"/>
          <w:b/>
          <w:bCs/>
          <w:sz w:val="20"/>
          <w:lang w:val="en-US" w:eastAsia="zh-CN"/>
        </w:rPr>
      </w:pPr>
      <w:r>
        <w:rPr>
          <w:rFonts w:hint="eastAsia"/>
          <w:b/>
          <w:bCs/>
          <w:sz w:val="20"/>
          <w:lang w:val="en-US" w:eastAsia="zh-CN"/>
        </w:rPr>
        <w:t>水表国家标准及检定规程：</w:t>
      </w:r>
    </w:p>
    <w:p>
      <w:pPr>
        <w:pStyle w:val="10"/>
        <w:numPr>
          <w:ilvl w:val="0"/>
          <w:numId w:val="0"/>
        </w:numPr>
        <w:spacing w:line="240" w:lineRule="atLeast"/>
        <w:ind w:leftChars="0"/>
        <w:contextualSpacing/>
        <w:rPr>
          <w:rFonts w:hint="eastAsia"/>
          <w:sz w:val="20"/>
          <w:lang w:val="en-US" w:eastAsia="zh-CN"/>
        </w:rPr>
      </w:pPr>
      <w:r>
        <w:rPr>
          <w:rFonts w:hint="eastAsia"/>
          <w:sz w:val="20"/>
          <w:lang w:val="en-US" w:eastAsia="zh-CN"/>
        </w:rPr>
        <w:t>GB/T778-2018《饮用冷水水表和热水水表》</w:t>
      </w:r>
    </w:p>
    <w:p>
      <w:pPr>
        <w:pStyle w:val="10"/>
        <w:numPr>
          <w:ilvl w:val="0"/>
          <w:numId w:val="0"/>
        </w:numPr>
        <w:spacing w:line="240" w:lineRule="atLeast"/>
        <w:ind w:leftChars="0"/>
        <w:contextualSpacing/>
        <w:rPr>
          <w:rFonts w:hint="eastAsia"/>
          <w:sz w:val="20"/>
          <w:lang w:val="en-US" w:eastAsia="zh-CN"/>
        </w:rPr>
      </w:pPr>
      <w:r>
        <w:rPr>
          <w:rFonts w:hint="eastAsia"/>
          <w:sz w:val="20"/>
          <w:lang w:val="en-US" w:eastAsia="zh-CN"/>
        </w:rPr>
        <w:t>JJG162-2019《饮用冷水水表》</w:t>
      </w:r>
      <w:bookmarkStart w:id="0" w:name="_GoBack"/>
      <w:bookmarkEnd w:id="0"/>
    </w:p>
    <w:p>
      <w:pPr>
        <w:pStyle w:val="10"/>
        <w:numPr>
          <w:ilvl w:val="0"/>
          <w:numId w:val="0"/>
        </w:numPr>
        <w:spacing w:line="240" w:lineRule="atLeast"/>
        <w:ind w:leftChars="0"/>
        <w:contextualSpacing/>
        <w:rPr>
          <w:rFonts w:hint="eastAsia"/>
          <w:b/>
          <w:bCs/>
          <w:sz w:val="20"/>
          <w:lang w:val="en-US" w:eastAsia="zh-CN"/>
        </w:rPr>
      </w:pPr>
      <w:r>
        <w:rPr>
          <w:rFonts w:hint="eastAsia"/>
          <w:b/>
          <w:bCs/>
          <w:sz w:val="20"/>
          <w:lang w:val="en-US" w:eastAsia="zh-CN"/>
        </w:rPr>
        <w:t>以下使用条件，造成的损坏，不在质保范围内：</w:t>
      </w:r>
    </w:p>
    <w:p>
      <w:pPr>
        <w:pStyle w:val="10"/>
        <w:numPr>
          <w:ilvl w:val="0"/>
          <w:numId w:val="0"/>
        </w:numPr>
        <w:spacing w:line="240" w:lineRule="atLeast"/>
        <w:ind w:leftChars="0"/>
        <w:contextualSpacing/>
        <w:rPr>
          <w:rFonts w:hint="eastAsia"/>
          <w:sz w:val="20"/>
          <w:lang w:val="en-US" w:eastAsia="zh-CN"/>
        </w:rPr>
      </w:pPr>
      <w:r>
        <w:rPr>
          <w:rFonts w:hint="eastAsia"/>
          <w:sz w:val="20"/>
          <w:lang w:val="en-US" w:eastAsia="zh-CN"/>
        </w:rPr>
        <w:t>1、长期泥淹水泡，导致锈死；</w:t>
      </w:r>
    </w:p>
    <w:p>
      <w:pPr>
        <w:pStyle w:val="10"/>
        <w:numPr>
          <w:ilvl w:val="0"/>
          <w:numId w:val="0"/>
        </w:numPr>
        <w:spacing w:line="240" w:lineRule="atLeast"/>
        <w:ind w:leftChars="0"/>
        <w:contextualSpacing/>
        <w:rPr>
          <w:rFonts w:hint="eastAsia"/>
          <w:sz w:val="20"/>
          <w:lang w:val="en-US" w:eastAsia="zh-CN"/>
        </w:rPr>
      </w:pPr>
      <w:r>
        <w:rPr>
          <w:rFonts w:hint="eastAsia"/>
          <w:sz w:val="20"/>
          <w:lang w:val="en-US" w:eastAsia="zh-CN"/>
        </w:rPr>
        <w:t>2、水质或管网内杂质过多导致产品故障；</w:t>
      </w:r>
    </w:p>
    <w:p>
      <w:pPr>
        <w:pStyle w:val="10"/>
        <w:numPr>
          <w:ilvl w:val="0"/>
          <w:numId w:val="0"/>
        </w:numPr>
        <w:spacing w:line="240" w:lineRule="atLeast"/>
        <w:ind w:leftChars="0"/>
        <w:contextualSpacing/>
        <w:rPr>
          <w:rFonts w:hint="eastAsia"/>
          <w:sz w:val="20"/>
          <w:lang w:val="en-US" w:eastAsia="zh-CN"/>
        </w:rPr>
      </w:pPr>
      <w:r>
        <w:rPr>
          <w:rFonts w:hint="eastAsia"/>
          <w:sz w:val="20"/>
          <w:lang w:val="en-US" w:eastAsia="zh-CN"/>
        </w:rPr>
        <w:t>3、人为损坏、拆卸铅封、硬物砸坏、火烤等损坏表体结构；</w:t>
      </w:r>
    </w:p>
    <w:p>
      <w:pPr>
        <w:pStyle w:val="10"/>
        <w:numPr>
          <w:ilvl w:val="0"/>
          <w:numId w:val="0"/>
        </w:numPr>
        <w:spacing w:line="240" w:lineRule="atLeast"/>
        <w:ind w:leftChars="0"/>
        <w:contextualSpacing/>
        <w:rPr>
          <w:rFonts w:hint="eastAsia"/>
          <w:sz w:val="20"/>
          <w:lang w:val="en-US" w:eastAsia="zh-CN"/>
        </w:rPr>
      </w:pPr>
      <w:r>
        <w:rPr>
          <w:rFonts w:hint="eastAsia"/>
          <w:sz w:val="20"/>
          <w:lang w:val="en-US" w:eastAsia="zh-CN"/>
        </w:rPr>
        <w:t>4、水温过高，环境温度超过国标正常规定；</w:t>
      </w:r>
    </w:p>
    <w:p>
      <w:pPr>
        <w:pStyle w:val="10"/>
        <w:numPr>
          <w:ilvl w:val="0"/>
          <w:numId w:val="0"/>
        </w:numPr>
        <w:spacing w:line="240" w:lineRule="atLeast"/>
        <w:ind w:leftChars="0"/>
        <w:contextualSpacing/>
        <w:rPr>
          <w:rFonts w:hint="eastAsia"/>
          <w:sz w:val="20"/>
          <w:lang w:val="en-US" w:eastAsia="zh-CN"/>
        </w:rPr>
      </w:pPr>
      <w:r>
        <w:rPr>
          <w:rFonts w:hint="eastAsia"/>
          <w:sz w:val="20"/>
          <w:lang w:val="en-US" w:eastAsia="zh-CN"/>
        </w:rPr>
        <w:t>5、因管网问题或现场安装环境不符合标准要求；</w:t>
      </w:r>
    </w:p>
    <w:p>
      <w:pPr>
        <w:pStyle w:val="10"/>
        <w:numPr>
          <w:ilvl w:val="0"/>
          <w:numId w:val="0"/>
        </w:numPr>
        <w:spacing w:line="240" w:lineRule="atLeast"/>
        <w:ind w:leftChars="0"/>
        <w:contextualSpacing/>
        <w:rPr>
          <w:rFonts w:hint="eastAsia"/>
          <w:sz w:val="20"/>
          <w:lang w:val="en-US" w:eastAsia="zh-CN"/>
        </w:rPr>
      </w:pPr>
      <w:r>
        <w:rPr>
          <w:rFonts w:hint="eastAsia"/>
          <w:sz w:val="20"/>
          <w:lang w:val="en-US" w:eastAsia="zh-CN"/>
        </w:rPr>
        <w:t>6、有线远传表信号线/电源线接入强电、电源线接反导致电路烧坏；</w:t>
      </w:r>
    </w:p>
    <w:p>
      <w:pPr>
        <w:pStyle w:val="10"/>
        <w:numPr>
          <w:ilvl w:val="0"/>
          <w:numId w:val="0"/>
        </w:numPr>
        <w:spacing w:line="240" w:lineRule="atLeast"/>
        <w:ind w:leftChars="0"/>
        <w:contextualSpacing/>
        <w:rPr>
          <w:rFonts w:hint="eastAsia"/>
          <w:sz w:val="20"/>
          <w:lang w:val="en-US" w:eastAsia="zh-CN"/>
        </w:rPr>
      </w:pPr>
      <w:r>
        <w:rPr>
          <w:rFonts w:hint="eastAsia"/>
          <w:sz w:val="20"/>
          <w:lang w:val="en-US" w:eastAsia="zh-CN"/>
        </w:rPr>
        <w:t>7、擅自更改抄表/上传频率，导致电池没电；</w:t>
      </w:r>
    </w:p>
    <w:p>
      <w:pPr>
        <w:pStyle w:val="10"/>
        <w:numPr>
          <w:ilvl w:val="0"/>
          <w:numId w:val="0"/>
        </w:numPr>
        <w:spacing w:line="240" w:lineRule="atLeast"/>
        <w:ind w:leftChars="0"/>
        <w:contextualSpacing/>
        <w:rPr>
          <w:rFonts w:hint="eastAsia"/>
          <w:sz w:val="20"/>
          <w:lang w:val="en-US" w:eastAsia="zh-CN"/>
        </w:rPr>
      </w:pPr>
      <w:r>
        <w:rPr>
          <w:rFonts w:hint="eastAsia"/>
          <w:sz w:val="20"/>
          <w:lang w:val="en-US" w:eastAsia="zh-CN"/>
        </w:rPr>
        <w:t>8、无线远传表安装现场运营商信号强度不满足产品数据传输要求；</w:t>
      </w:r>
    </w:p>
    <w:p>
      <w:pPr>
        <w:pStyle w:val="10"/>
        <w:numPr>
          <w:ilvl w:val="0"/>
          <w:numId w:val="0"/>
        </w:numPr>
        <w:spacing w:line="240" w:lineRule="atLeast"/>
        <w:ind w:leftChars="0"/>
        <w:contextualSpacing/>
        <w:rPr>
          <w:rFonts w:hint="eastAsia"/>
          <w:sz w:val="20"/>
          <w:lang w:val="en-US" w:eastAsia="zh-CN"/>
        </w:rPr>
      </w:pPr>
      <w:r>
        <w:rPr>
          <w:rFonts w:hint="eastAsia"/>
          <w:sz w:val="20"/>
          <w:lang w:val="en-US" w:eastAsia="zh-CN"/>
        </w:rPr>
        <w:t>9、无线远传表安装现场，因金属井盖/金属门等信号屏蔽导致数据传输信号弱。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leftChars="0" w:right="0" w:rightChars="0"/>
        <w:contextualSpacing/>
        <w:jc w:val="both"/>
        <w:rPr>
          <w:rFonts w:hint="eastAsia" w:ascii="宋体" w:hAnsi="宋体" w:eastAsia="宋体" w:cs="宋体"/>
          <w:b/>
          <w:bCs w:val="0"/>
          <w:kern w:val="2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leftChars="0" w:right="0" w:rightChars="0"/>
        <w:contextualSpacing/>
        <w:jc w:val="both"/>
        <w:rPr>
          <w:rFonts w:hint="default" w:ascii="宋体" w:hAnsi="宋体" w:eastAsia="宋体" w:cs="宋体"/>
          <w:b/>
          <w:bCs w:val="0"/>
          <w:kern w:val="2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20"/>
          <w:szCs w:val="20"/>
          <w:lang w:val="en-US" w:eastAsia="zh-CN" w:bidi="ar"/>
        </w:rPr>
        <w:t>九、配件清单</w:t>
      </w:r>
    </w:p>
    <w:tbl>
      <w:tblPr>
        <w:tblStyle w:val="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2316"/>
        <w:gridCol w:w="2078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contextualSpacing w:val="0"/>
              <w:jc w:val="center"/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contextualSpacing w:val="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  <w:t>配件名称</w:t>
            </w: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contextualSpacing w:val="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contextualSpacing w:val="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contextualSpacing w:val="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contextualSpacing w:val="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  <w:t>水表说明书</w:t>
            </w: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contextualSpacing w:val="0"/>
              <w:jc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  <w:t>份</w:t>
            </w: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contextualSpacing w:val="0"/>
              <w:jc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contextualSpacing w:val="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contextualSpacing w:val="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  <w:t>天线安装说明</w:t>
            </w: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contextualSpacing w:val="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  <w:t>份</w:t>
            </w: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contextualSpacing w:val="0"/>
              <w:jc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contextualSpacing w:val="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contextualSpacing w:val="0"/>
              <w:jc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  <w:t>合格证</w:t>
            </w: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contextualSpacing w:val="0"/>
              <w:jc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  <w:t>张</w:t>
            </w: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contextualSpacing w:val="0"/>
              <w:jc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contextualSpacing w:val="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contextualSpacing w:val="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  <w:t>分体壳挂件</w:t>
            </w: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contextualSpacing w:val="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contextualSpacing w:val="0"/>
              <w:jc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contextualSpacing w:val="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contextualSpacing w:val="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  <w:t>胀塞</w:t>
            </w: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contextualSpacing w:val="0"/>
              <w:jc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contextualSpacing w:val="0"/>
              <w:jc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contextualSpacing w:val="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  <w:t>自攻螺钉</w:t>
            </w: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  <w:t>颗</w:t>
            </w: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contextualSpacing w:val="0"/>
              <w:jc w:val="center"/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  <w:t>天线支架</w:t>
            </w: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>
        <w:pStyle w:val="10"/>
        <w:numPr>
          <w:ilvl w:val="0"/>
          <w:numId w:val="0"/>
        </w:numPr>
        <w:spacing w:line="240" w:lineRule="atLeast"/>
        <w:contextualSpacing/>
        <w:rPr>
          <w:rFonts w:hint="eastAsia"/>
          <w:sz w:val="20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139065</wp:posOffset>
            </wp:positionV>
            <wp:extent cx="294640" cy="257175"/>
            <wp:effectExtent l="0" t="0" r="10160" b="952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  <w:numPr>
          <w:ilvl w:val="0"/>
          <w:numId w:val="0"/>
        </w:numPr>
        <w:spacing w:line="240" w:lineRule="atLeast"/>
        <w:ind w:leftChars="0" w:firstLine="600" w:firstLineChars="300"/>
        <w:contextualSpacing/>
        <w:rPr>
          <w:sz w:val="20"/>
        </w:rPr>
      </w:pPr>
      <w:r>
        <w:rPr>
          <w:rFonts w:hint="eastAsia"/>
          <w:sz w:val="20"/>
        </w:rPr>
        <w:t>本使用说明我厂保留所有的权利，产品如若升级或修改，恕不另行通知！</w:t>
      </w:r>
    </w:p>
    <w:sectPr>
      <w:headerReference r:id="rId3" w:type="default"/>
      <w:footerReference r:id="rId4" w:type="default"/>
      <w:pgSz w:w="16838" w:h="11906" w:orient="landscape"/>
      <w:pgMar w:top="851" w:right="851" w:bottom="851" w:left="851" w:header="454" w:footer="284" w:gutter="0"/>
      <w:pgNumType w:start="2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 xml:space="preserve">传真：010-67880119     </w:t>
    </w:r>
    <w:r>
      <w:t xml:space="preserve">     网址：http://www.ydyb.com</w:t>
    </w:r>
    <w:r>
      <w:rPr>
        <w:rFonts w:hint="eastAsia"/>
      </w:rPr>
      <w:t xml:space="preserve">                                    </w:t>
    </w:r>
    <w:r>
      <w:t>全国统一客服：</w:t>
    </w:r>
    <w:r>
      <w:rPr>
        <w:rFonts w:hint="eastAsia"/>
      </w:rPr>
      <w:t>400-666-6613          地址：</w:t>
    </w:r>
    <w:r>
      <w:t>北京经济技术开发区兴盛街</w:t>
    </w:r>
    <w:r>
      <w:rPr>
        <w:rFonts w:hint="eastAsia"/>
      </w:rPr>
      <w:t>19号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  <w:r>
      <w:rPr>
        <w:rFonts w:hint="eastAsia" w:ascii="Arial" w:hAnsi="Arial" w:eastAsia="幼圆" w:cs="楷体_GB2312"/>
        <w:kern w:val="0"/>
      </w:rPr>
      <w:t xml:space="preserve"> </w:t>
    </w:r>
    <w:r>
      <w:rPr>
        <w:kern w:val="0"/>
      </w:rPr>
      <w:drawing>
        <wp:inline distT="0" distB="0" distL="0" distR="0">
          <wp:extent cx="1219200" cy="276225"/>
          <wp:effectExtent l="0" t="0" r="0" b="9525"/>
          <wp:docPr id="5" name="图片 5" descr="logo-20160808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-20160808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eastAsia="幼圆" w:cs="楷体_GB2312"/>
        <w:kern w:val="0"/>
      </w:rPr>
      <w:tab/>
    </w:r>
    <w:r>
      <w:rPr>
        <w:rFonts w:ascii="Arial" w:hAnsi="Arial" w:eastAsia="幼圆" w:cs="楷体_GB2312"/>
        <w:kern w:val="0"/>
      </w:rPr>
      <w:tab/>
    </w:r>
    <w:r>
      <w:rPr>
        <w:rFonts w:ascii="Arial" w:hAnsi="Arial" w:eastAsia="幼圆" w:cs="楷体_GB2312"/>
        <w:kern w:val="0"/>
      </w:rPr>
      <w:tab/>
    </w:r>
    <w:r>
      <w:rPr>
        <w:rFonts w:ascii="Arial" w:hAnsi="Arial" w:eastAsia="幼圆" w:cs="楷体_GB2312"/>
        <w:kern w:val="0"/>
      </w:rPr>
      <w:tab/>
    </w:r>
    <w:r>
      <w:rPr>
        <w:rFonts w:ascii="Arial" w:hAnsi="Arial" w:eastAsia="幼圆" w:cs="楷体_GB2312"/>
        <w:kern w:val="0"/>
      </w:rPr>
      <w:tab/>
    </w:r>
    <w:r>
      <w:rPr>
        <w:rFonts w:ascii="Arial" w:hAnsi="Arial" w:eastAsia="幼圆" w:cs="楷体_GB2312"/>
        <w:kern w:val="0"/>
      </w:rPr>
      <w:tab/>
    </w:r>
    <w:r>
      <w:rPr>
        <w:rFonts w:ascii="Arial" w:hAnsi="Arial" w:eastAsia="幼圆" w:cs="楷体_GB2312"/>
        <w:kern w:val="0"/>
      </w:rPr>
      <w:tab/>
    </w:r>
    <w:r>
      <w:rPr>
        <w:rFonts w:ascii="Arial" w:hAnsi="Arial" w:eastAsia="幼圆" w:cs="楷体_GB2312"/>
        <w:kern w:val="0"/>
      </w:rPr>
      <w:tab/>
    </w:r>
    <w:r>
      <w:rPr>
        <w:rFonts w:ascii="Arial" w:hAnsi="Arial" w:eastAsia="幼圆" w:cs="楷体_GB2312"/>
        <w:kern w:val="0"/>
      </w:rPr>
      <w:tab/>
    </w:r>
    <w:r>
      <w:rPr>
        <w:rFonts w:ascii="Arial" w:hAnsi="Arial" w:eastAsia="幼圆" w:cs="楷体_GB2312"/>
        <w:kern w:val="0"/>
      </w:rPr>
      <w:tab/>
    </w:r>
    <w:r>
      <w:rPr>
        <w:rFonts w:ascii="Arial" w:hAnsi="Arial" w:eastAsia="幼圆" w:cs="楷体_GB2312"/>
        <w:kern w:val="0"/>
      </w:rPr>
      <w:tab/>
    </w:r>
    <w:r>
      <w:rPr>
        <w:rFonts w:hint="eastAsia" w:ascii="Arial" w:hAnsi="Arial" w:eastAsia="幼圆" w:cs="楷体_GB2312"/>
        <w:kern w:val="0"/>
      </w:rPr>
      <w:t>益都智能技术（北京）股份有限公司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3D9037"/>
    <w:multiLevelType w:val="singleLevel"/>
    <w:tmpl w:val="893D903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7E54251"/>
    <w:multiLevelType w:val="singleLevel"/>
    <w:tmpl w:val="E7E5425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B7E0EC1"/>
    <w:multiLevelType w:val="multilevel"/>
    <w:tmpl w:val="3B7E0EC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017993"/>
    <w:multiLevelType w:val="multilevel"/>
    <w:tmpl w:val="7C017993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jNGQ0MzU5ZmEzOGVjYzQ4MTlhZjBlMTZmMmQ1YTYifQ=="/>
  </w:docVars>
  <w:rsids>
    <w:rsidRoot w:val="006F0ECA"/>
    <w:rsid w:val="0002082D"/>
    <w:rsid w:val="00111E77"/>
    <w:rsid w:val="00183034"/>
    <w:rsid w:val="002331CA"/>
    <w:rsid w:val="00286FF6"/>
    <w:rsid w:val="00291655"/>
    <w:rsid w:val="003024F8"/>
    <w:rsid w:val="003C0A91"/>
    <w:rsid w:val="004662FE"/>
    <w:rsid w:val="00471C5E"/>
    <w:rsid w:val="00486E8D"/>
    <w:rsid w:val="005558F4"/>
    <w:rsid w:val="005E013A"/>
    <w:rsid w:val="006C568F"/>
    <w:rsid w:val="006F0ECA"/>
    <w:rsid w:val="00701819"/>
    <w:rsid w:val="00727D26"/>
    <w:rsid w:val="007D0EAC"/>
    <w:rsid w:val="007F09FE"/>
    <w:rsid w:val="00856C3F"/>
    <w:rsid w:val="008E731C"/>
    <w:rsid w:val="009A4B0E"/>
    <w:rsid w:val="00A14B62"/>
    <w:rsid w:val="00B4035E"/>
    <w:rsid w:val="00BF6690"/>
    <w:rsid w:val="00C702FC"/>
    <w:rsid w:val="00CA13A0"/>
    <w:rsid w:val="00D1319C"/>
    <w:rsid w:val="00D30AC8"/>
    <w:rsid w:val="00D739E9"/>
    <w:rsid w:val="00DB09BC"/>
    <w:rsid w:val="00FA5FEF"/>
    <w:rsid w:val="00FB3F9D"/>
    <w:rsid w:val="010E3903"/>
    <w:rsid w:val="04AC2BF5"/>
    <w:rsid w:val="12AB571B"/>
    <w:rsid w:val="19AE1CFC"/>
    <w:rsid w:val="1C2B6BEB"/>
    <w:rsid w:val="1E401394"/>
    <w:rsid w:val="289B02D8"/>
    <w:rsid w:val="375241BA"/>
    <w:rsid w:val="3F937BAE"/>
    <w:rsid w:val="4691523A"/>
    <w:rsid w:val="4CE603AD"/>
    <w:rsid w:val="4D7E026E"/>
    <w:rsid w:val="66581F61"/>
    <w:rsid w:val="6D430BAF"/>
    <w:rsid w:val="6E137FD9"/>
    <w:rsid w:val="728C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customStyle="1" w:styleId="14">
    <w:name w:val="列出段落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cs="Times New Roman"/>
      <w:kern w:val="2"/>
      <w:sz w:val="21"/>
      <w:szCs w:val="21"/>
      <w:lang w:val="en-US" w:eastAsia="zh-CN" w:bidi="ar"/>
    </w:rPr>
  </w:style>
  <w:style w:type="paragraph" w:customStyle="1" w:styleId="15">
    <w:name w:val="0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B963F-7315-445E-B127-0F81BA6B61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2073</Words>
  <Characters>2465</Characters>
  <Lines>1</Lines>
  <Paragraphs>1</Paragraphs>
  <TotalTime>14</TotalTime>
  <ScaleCrop>false</ScaleCrop>
  <LinksUpToDate>false</LinksUpToDate>
  <CharactersWithSpaces>2493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2017-09-28T08:41:00Z</dcterms:created>
  <dc:creator>Dark Duke</dc:creator>
  <cp:lastModifiedBy>18046575567</cp:lastModifiedBy>
  <cp:lastPrinted>2017-09-28T08:35:00Z</cp:lastPrinted>
  <dcterms:modified xsi:type="dcterms:W3CDTF">2023-06-09T09:59:27Z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039742075A1F4829B7FCF859A9DE4DA8</vt:lpwstr>
  </property>
</Properties>
</file>