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08" w:rsidRDefault="009E2221">
      <w:pPr>
        <w:rPr>
          <w:rFonts w:ascii="Arial" w:eastAsia="幼圆" w:hAnsi="Arial" w:cs="Arial"/>
          <w:b/>
          <w:sz w:val="32"/>
          <w:szCs w:val="32"/>
        </w:rPr>
      </w:pPr>
      <w:r>
        <w:rPr>
          <w:rFonts w:ascii="Calibri" w:eastAsia="宋体" w:hAnsi="Calibri" w:cs="Times New Roman"/>
          <w:noProof/>
          <w:szCs w:val="21"/>
        </w:rPr>
        <w:drawing>
          <wp:inline distT="0" distB="0" distL="114300" distR="114300">
            <wp:extent cx="4867275" cy="57150"/>
            <wp:effectExtent l="0" t="0" r="9525" b="6350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幼圆" w:hAnsi="Arial" w:cs="Arial"/>
          <w:b/>
          <w:sz w:val="32"/>
          <w:szCs w:val="32"/>
          <w:lang w:bidi="ar"/>
        </w:rPr>
        <w:t xml:space="preserve"> </w:t>
      </w:r>
    </w:p>
    <w:p w:rsidR="009C2808" w:rsidRDefault="009E2221">
      <w:pPr>
        <w:jc w:val="center"/>
        <w:rPr>
          <w:rFonts w:ascii="Arial" w:eastAsia="幼圆" w:hAnsi="Arial" w:cs="Arial"/>
          <w:b/>
          <w:sz w:val="32"/>
          <w:szCs w:val="32"/>
        </w:rPr>
      </w:pPr>
      <w:r>
        <w:rPr>
          <w:rFonts w:ascii="Arial" w:eastAsia="幼圆" w:hAnsi="Arial" w:cs="Arial"/>
          <w:b/>
          <w:sz w:val="32"/>
          <w:szCs w:val="32"/>
          <w:lang w:bidi="ar"/>
        </w:rPr>
        <w:t xml:space="preserve"> </w:t>
      </w:r>
    </w:p>
    <w:p w:rsidR="009C2808" w:rsidRDefault="009E2221">
      <w:pPr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  <w:lang w:bidi="ar"/>
        </w:rPr>
        <w:t>光电直读远传水表</w:t>
      </w:r>
      <w:r>
        <w:rPr>
          <w:rFonts w:ascii="Times New Roman" w:eastAsia="黑体" w:hAnsi="Times New Roman" w:cs="Times New Roman"/>
          <w:sz w:val="36"/>
          <w:szCs w:val="36"/>
          <w:lang w:bidi="ar"/>
        </w:rPr>
        <w:t>(</w:t>
      </w:r>
      <w:r>
        <w:rPr>
          <w:rFonts w:ascii="Times New Roman" w:eastAsia="黑体" w:hAnsi="Times New Roman" w:cs="Times New Roman" w:hint="eastAsia"/>
          <w:sz w:val="36"/>
          <w:szCs w:val="36"/>
          <w:lang w:bidi="ar"/>
        </w:rPr>
        <w:t>GPRS</w:t>
      </w:r>
      <w:r w:rsidR="0038484E">
        <w:rPr>
          <w:rFonts w:ascii="Times New Roman" w:eastAsia="黑体" w:hAnsi="Times New Roman" w:cs="Times New Roman" w:hint="eastAsia"/>
          <w:sz w:val="36"/>
          <w:szCs w:val="36"/>
          <w:lang w:bidi="ar"/>
        </w:rPr>
        <w:t>/4G</w:t>
      </w:r>
      <w:r>
        <w:rPr>
          <w:rFonts w:ascii="Times New Roman" w:eastAsia="黑体" w:hAnsi="Times New Roman" w:cs="Times New Roman"/>
          <w:sz w:val="36"/>
          <w:szCs w:val="36"/>
          <w:lang w:bidi="ar"/>
        </w:rPr>
        <w:t>)</w:t>
      </w:r>
    </w:p>
    <w:p w:rsidR="009C2808" w:rsidRDefault="009E2221">
      <w:pPr>
        <w:jc w:val="center"/>
        <w:rPr>
          <w:rFonts w:ascii="黑体" w:eastAsia="黑体" w:hAnsi="宋体" w:cs="黑体"/>
          <w:sz w:val="36"/>
          <w:szCs w:val="36"/>
          <w:lang w:bidi="ar"/>
        </w:rPr>
      </w:pPr>
      <w:r>
        <w:rPr>
          <w:rFonts w:ascii="黑体" w:eastAsia="黑体" w:hAnsi="宋体" w:cs="黑体" w:hint="eastAsia"/>
          <w:sz w:val="36"/>
          <w:szCs w:val="36"/>
          <w:lang w:bidi="ar"/>
        </w:rPr>
        <w:t>DN40-DN200</w:t>
      </w:r>
    </w:p>
    <w:p w:rsidR="009C2808" w:rsidRDefault="009E2221">
      <w:pPr>
        <w:jc w:val="center"/>
        <w:rPr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  <w:lang w:bidi="ar"/>
        </w:rPr>
        <w:t>安装使用说明书</w:t>
      </w:r>
    </w:p>
    <w:p w:rsidR="009C2808" w:rsidRDefault="009C2808">
      <w:pPr>
        <w:jc w:val="center"/>
        <w:rPr>
          <w:rFonts w:ascii="Arial" w:eastAsia="幼圆" w:hAnsi="Arial" w:cs="Arial"/>
          <w:b/>
          <w:sz w:val="32"/>
          <w:szCs w:val="32"/>
        </w:rPr>
      </w:pPr>
    </w:p>
    <w:p w:rsidR="009C2808" w:rsidRDefault="009E2221">
      <w:pPr>
        <w:jc w:val="center"/>
        <w:rPr>
          <w:rFonts w:ascii="Arial" w:eastAsia="幼圆" w:hAnsi="Arial" w:cs="Arial"/>
          <w:b/>
          <w:sz w:val="32"/>
          <w:szCs w:val="32"/>
        </w:rPr>
      </w:pPr>
      <w:r>
        <w:rPr>
          <w:rFonts w:ascii="Arial" w:eastAsia="幼圆" w:hAnsi="Arial" w:cs="Arial"/>
          <w:b/>
          <w:sz w:val="32"/>
          <w:szCs w:val="32"/>
          <w:lang w:bidi="ar"/>
        </w:rPr>
        <w:t xml:space="preserve"> </w:t>
      </w:r>
    </w:p>
    <w:p w:rsidR="009C2808" w:rsidRDefault="009E2221">
      <w:pPr>
        <w:jc w:val="center"/>
        <w:rPr>
          <w:rFonts w:ascii="Arial" w:eastAsia="幼圆" w:hAnsi="Arial" w:cs="Arial"/>
          <w:b/>
          <w:sz w:val="32"/>
          <w:szCs w:val="32"/>
        </w:rPr>
      </w:pPr>
      <w:r>
        <w:rPr>
          <w:rFonts w:ascii="Arial" w:eastAsia="幼圆" w:hAnsi="Arial" w:cs="Arial"/>
          <w:b/>
          <w:sz w:val="32"/>
          <w:szCs w:val="32"/>
          <w:lang w:bidi="ar"/>
        </w:rPr>
        <w:t xml:space="preserve"> </w:t>
      </w:r>
    </w:p>
    <w:p w:rsidR="009C2808" w:rsidRDefault="009E2221">
      <w:pPr>
        <w:rPr>
          <w:rFonts w:ascii="Arial" w:eastAsia="幼圆" w:hAnsi="Arial" w:cs="Arial"/>
          <w:b/>
          <w:sz w:val="32"/>
          <w:szCs w:val="32"/>
        </w:rPr>
      </w:pPr>
      <w:r>
        <w:rPr>
          <w:rFonts w:ascii="Arial" w:eastAsia="幼圆" w:hAnsi="Arial" w:cs="Arial"/>
          <w:b/>
          <w:sz w:val="32"/>
          <w:szCs w:val="32"/>
          <w:lang w:bidi="ar"/>
        </w:rPr>
        <w:t xml:space="preserve"> </w:t>
      </w:r>
    </w:p>
    <w:p w:rsidR="009C2808" w:rsidRDefault="009E2221">
      <w:pPr>
        <w:rPr>
          <w:rFonts w:ascii="Arial" w:eastAsia="幼圆" w:hAnsi="Arial" w:cs="Arial"/>
          <w:b/>
          <w:sz w:val="32"/>
          <w:szCs w:val="32"/>
          <w:lang w:bidi="ar"/>
        </w:rPr>
      </w:pPr>
      <w:r>
        <w:rPr>
          <w:rFonts w:ascii="Arial" w:eastAsia="幼圆" w:hAnsi="Arial" w:cs="Arial"/>
          <w:b/>
          <w:sz w:val="32"/>
          <w:szCs w:val="32"/>
          <w:lang w:bidi="ar"/>
        </w:rPr>
        <w:t xml:space="preserve"> </w:t>
      </w:r>
    </w:p>
    <w:p w:rsidR="009C2808" w:rsidRDefault="009C2808">
      <w:pPr>
        <w:rPr>
          <w:rFonts w:ascii="Arial" w:eastAsia="幼圆" w:hAnsi="Arial" w:cs="Arial"/>
          <w:b/>
          <w:sz w:val="32"/>
          <w:szCs w:val="32"/>
          <w:lang w:bidi="ar"/>
        </w:rPr>
      </w:pPr>
    </w:p>
    <w:p w:rsidR="009C2808" w:rsidRDefault="009E2221">
      <w:pPr>
        <w:rPr>
          <w:rFonts w:ascii="Arial" w:eastAsia="幼圆" w:hAnsi="Arial" w:cs="Arial"/>
          <w:b/>
          <w:sz w:val="32"/>
          <w:szCs w:val="32"/>
          <w:lang w:bidi="ar"/>
        </w:rPr>
      </w:pPr>
      <w:r>
        <w:rPr>
          <w:rFonts w:ascii="Arial" w:eastAsia="幼圆" w:hAnsi="Arial" w:cs="Arial"/>
          <w:b/>
          <w:sz w:val="32"/>
          <w:szCs w:val="32"/>
          <w:lang w:bidi="ar"/>
        </w:rPr>
        <w:t xml:space="preserve"> </w:t>
      </w:r>
    </w:p>
    <w:p w:rsidR="009C2808" w:rsidRDefault="009C2808">
      <w:pPr>
        <w:rPr>
          <w:rFonts w:ascii="Arial" w:eastAsia="幼圆" w:hAnsi="Arial" w:cs="Arial"/>
          <w:b/>
          <w:sz w:val="32"/>
          <w:szCs w:val="32"/>
          <w:lang w:bidi="ar"/>
        </w:rPr>
      </w:pPr>
    </w:p>
    <w:p w:rsidR="009C2808" w:rsidRDefault="009E2221">
      <w:pPr>
        <w:rPr>
          <w:rFonts w:ascii="Arial" w:eastAsia="幼圆" w:hAnsi="Arial" w:cs="Arial"/>
          <w:b/>
          <w:sz w:val="32"/>
          <w:szCs w:val="32"/>
        </w:rPr>
      </w:pPr>
      <w:r>
        <w:rPr>
          <w:rFonts w:ascii="Arial" w:eastAsia="幼圆" w:hAnsi="Arial" w:cs="Arial"/>
          <w:b/>
          <w:sz w:val="32"/>
          <w:szCs w:val="32"/>
          <w:lang w:bidi="ar"/>
        </w:rPr>
        <w:t xml:space="preserve"> </w:t>
      </w:r>
    </w:p>
    <w:p w:rsidR="009C2808" w:rsidRDefault="009E2221">
      <w:pPr>
        <w:rPr>
          <w:rFonts w:ascii="Arial" w:eastAsia="幼圆" w:hAnsi="Arial" w:cs="Arial"/>
          <w:b/>
          <w:sz w:val="32"/>
          <w:szCs w:val="32"/>
        </w:rPr>
      </w:pPr>
      <w:r>
        <w:rPr>
          <w:rFonts w:ascii="Calibri" w:eastAsia="宋体" w:hAnsi="Calibri" w:cs="Times New Roman"/>
          <w:noProof/>
          <w:szCs w:val="21"/>
        </w:rPr>
        <w:drawing>
          <wp:inline distT="0" distB="0" distL="114300" distR="114300">
            <wp:extent cx="4867275" cy="57150"/>
            <wp:effectExtent l="0" t="0" r="9525" b="635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C2808" w:rsidRDefault="009E2221">
      <w:pPr>
        <w:jc w:val="center"/>
        <w:outlineLvl w:val="0"/>
        <w:rPr>
          <w:rFonts w:ascii="黑体" w:eastAsia="黑体" w:hAnsi="Calibri" w:cs="Times New Roman"/>
          <w:b/>
          <w:sz w:val="44"/>
          <w:szCs w:val="44"/>
        </w:rPr>
      </w:pPr>
      <w:r>
        <w:rPr>
          <w:rFonts w:ascii="黑体" w:eastAsia="黑体" w:hAnsi="宋体" w:cs="黑体" w:hint="eastAsia"/>
          <w:b/>
          <w:sz w:val="32"/>
          <w:szCs w:val="32"/>
          <w:lang w:bidi="ar"/>
        </w:rPr>
        <w:t>益都智能技术（北京）</w:t>
      </w:r>
      <w:r w:rsidR="00D47170">
        <w:rPr>
          <w:rFonts w:ascii="黑体" w:eastAsia="黑体" w:hAnsi="宋体" w:cs="黑体" w:hint="eastAsia"/>
          <w:b/>
          <w:sz w:val="32"/>
          <w:szCs w:val="32"/>
          <w:lang w:bidi="ar"/>
        </w:rPr>
        <w:t>集团</w:t>
      </w:r>
      <w:r>
        <w:rPr>
          <w:rFonts w:ascii="黑体" w:eastAsia="黑体" w:hAnsi="宋体" w:cs="黑体" w:hint="eastAsia"/>
          <w:b/>
          <w:sz w:val="32"/>
          <w:szCs w:val="32"/>
          <w:lang w:bidi="ar"/>
        </w:rPr>
        <w:t>有限公司</w:t>
      </w:r>
    </w:p>
    <w:p w:rsidR="009C2808" w:rsidRDefault="009C2808">
      <w:pPr>
        <w:spacing w:line="240" w:lineRule="atLeast"/>
        <w:contextualSpacing/>
        <w:rPr>
          <w:sz w:val="20"/>
        </w:rPr>
      </w:pPr>
    </w:p>
    <w:p w:rsidR="009C2808" w:rsidRDefault="009E2221">
      <w:pPr>
        <w:pStyle w:val="1"/>
        <w:spacing w:line="180" w:lineRule="atLeast"/>
        <w:ind w:firstLineChars="0" w:firstLine="0"/>
        <w:contextualSpacing/>
        <w:rPr>
          <w:b/>
          <w:sz w:val="20"/>
        </w:rPr>
      </w:pPr>
      <w:r>
        <w:rPr>
          <w:rFonts w:hint="eastAsia"/>
          <w:b/>
          <w:sz w:val="20"/>
        </w:rPr>
        <w:t>一、产品概述：</w:t>
      </w:r>
    </w:p>
    <w:p w:rsidR="009C2808" w:rsidRDefault="009C2808">
      <w:pPr>
        <w:pStyle w:val="1"/>
        <w:spacing w:line="180" w:lineRule="atLeast"/>
        <w:ind w:firstLineChars="0" w:firstLine="0"/>
        <w:contextualSpacing/>
        <w:rPr>
          <w:b/>
          <w:sz w:val="20"/>
        </w:rPr>
      </w:pPr>
    </w:p>
    <w:p w:rsidR="009C2808" w:rsidRDefault="009E2221">
      <w:pPr>
        <w:spacing w:line="240" w:lineRule="atLeast"/>
        <w:contextualSpacing/>
        <w:rPr>
          <w:sz w:val="20"/>
        </w:rPr>
      </w:pP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物联网技术已伴随着经济的高速增长渗透到各个领域，城市供水抄表就是其中之一。物联网水表解决城市供水抄表难题，是一种远程控</w:t>
      </w:r>
      <w:proofErr w:type="gramStart"/>
      <w:r>
        <w:rPr>
          <w:rFonts w:hint="eastAsia"/>
          <w:sz w:val="20"/>
        </w:rPr>
        <w:t>水解决</w:t>
      </w:r>
      <w:proofErr w:type="gramEnd"/>
      <w:r>
        <w:rPr>
          <w:rFonts w:hint="eastAsia"/>
          <w:sz w:val="20"/>
        </w:rPr>
        <w:t>方案，是未来智能水表的发展方向。光电传感技术采样可以保证机电转换的零误差。本产品既是结合了这两项技术，用来计量流经自来水管道饮用水的总量，它仅适用于单向流动的清洁水。</w:t>
      </w:r>
    </w:p>
    <w:p w:rsidR="009C2808" w:rsidRDefault="009C2808">
      <w:pPr>
        <w:spacing w:line="240" w:lineRule="atLeast"/>
        <w:contextualSpacing/>
        <w:rPr>
          <w:sz w:val="20"/>
        </w:rPr>
      </w:pPr>
    </w:p>
    <w:p w:rsidR="009C2808" w:rsidRDefault="009E2221">
      <w:pPr>
        <w:pStyle w:val="1"/>
        <w:spacing w:line="180" w:lineRule="atLeast"/>
        <w:ind w:firstLineChars="0" w:firstLine="0"/>
        <w:contextualSpacing/>
        <w:rPr>
          <w:b/>
          <w:sz w:val="20"/>
        </w:rPr>
      </w:pPr>
      <w:r>
        <w:rPr>
          <w:rFonts w:hint="eastAsia"/>
          <w:b/>
          <w:sz w:val="20"/>
        </w:rPr>
        <w:t>二、工作原理</w:t>
      </w:r>
    </w:p>
    <w:p w:rsidR="009C2808" w:rsidRDefault="009C2808" w:rsidP="0038484E">
      <w:pPr>
        <w:pStyle w:val="1"/>
        <w:spacing w:line="180" w:lineRule="atLeast"/>
        <w:ind w:leftChars="200" w:left="420" w:firstLineChars="0" w:firstLine="0"/>
        <w:contextualSpacing/>
        <w:rPr>
          <w:b/>
          <w:sz w:val="20"/>
        </w:rPr>
      </w:pPr>
    </w:p>
    <w:p w:rsidR="009C2808" w:rsidRDefault="009E2221">
      <w:pPr>
        <w:spacing w:line="240" w:lineRule="atLeast"/>
        <w:contextualSpacing/>
        <w:rPr>
          <w:sz w:val="20"/>
        </w:rPr>
      </w:pPr>
      <w:r>
        <w:rPr>
          <w:rFonts w:hint="eastAsia"/>
          <w:sz w:val="20"/>
        </w:rPr>
        <w:t xml:space="preserve">     </w:t>
      </w:r>
      <w:r>
        <w:rPr>
          <w:rFonts w:hint="eastAsia"/>
          <w:sz w:val="20"/>
        </w:rPr>
        <w:t>当水流入水表后，冲击水表的叶轮旋转后流出，叶轮的转速与水流速度成正比，经过减速齿轮传动后，在指示装置上显示通过水表的水总量。水表的光电模块可以直接读取基表字轮上的读数，读出的用水量数据通过</w:t>
      </w:r>
      <w:r>
        <w:rPr>
          <w:rFonts w:hint="eastAsia"/>
          <w:sz w:val="20"/>
        </w:rPr>
        <w:t>4G</w:t>
      </w:r>
      <w:r>
        <w:rPr>
          <w:rFonts w:hint="eastAsia"/>
          <w:sz w:val="20"/>
        </w:rPr>
        <w:t>无线网络可以与管理中心通信，进行无线抄表、网络充值、远程控制、故障检测等操作。</w:t>
      </w:r>
    </w:p>
    <w:p w:rsidR="009C2808" w:rsidRDefault="009C2808">
      <w:pPr>
        <w:spacing w:line="240" w:lineRule="atLeast"/>
        <w:contextualSpacing/>
        <w:rPr>
          <w:sz w:val="20"/>
        </w:rPr>
      </w:pPr>
    </w:p>
    <w:p w:rsidR="009C2808" w:rsidRDefault="009E2221">
      <w:pPr>
        <w:pStyle w:val="1"/>
        <w:spacing w:line="180" w:lineRule="atLeast"/>
        <w:ind w:firstLineChars="0" w:firstLine="0"/>
        <w:contextualSpacing/>
        <w:rPr>
          <w:b/>
          <w:sz w:val="20"/>
        </w:rPr>
      </w:pPr>
      <w:r>
        <w:rPr>
          <w:rFonts w:hint="eastAsia"/>
          <w:b/>
          <w:sz w:val="20"/>
        </w:rPr>
        <w:t>三、</w:t>
      </w:r>
      <w:r>
        <w:rPr>
          <w:b/>
          <w:sz w:val="20"/>
        </w:rPr>
        <w:t>产品特点</w:t>
      </w:r>
    </w:p>
    <w:p w:rsidR="009C2808" w:rsidRDefault="009E2221">
      <w:pPr>
        <w:numPr>
          <w:ilvl w:val="0"/>
          <w:numId w:val="1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采用4G网络通信，数据传输稳定，可定时上传，自动维护网络连接</w:t>
      </w:r>
    </w:p>
    <w:p w:rsidR="009C2808" w:rsidRDefault="009E2221">
      <w:pPr>
        <w:numPr>
          <w:ilvl w:val="0"/>
          <w:numId w:val="1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采用优质材料及防腐蚀处理，计量准确、精度高，经久耐用</w:t>
      </w:r>
    </w:p>
    <w:p w:rsidR="009C2808" w:rsidRDefault="009E2221">
      <w:pPr>
        <w:numPr>
          <w:ilvl w:val="0"/>
          <w:numId w:val="1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proofErr w:type="gramStart"/>
      <w:r>
        <w:rPr>
          <w:rFonts w:ascii="宋体" w:eastAsia="宋体" w:hAnsi="宋体" w:cs="宋体" w:hint="eastAsia"/>
          <w:sz w:val="20"/>
          <w:szCs w:val="20"/>
        </w:rPr>
        <w:t>采用铜封计数器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，整洁防起雾，显示清晰，读取方便，外型美观</w:t>
      </w:r>
    </w:p>
    <w:p w:rsidR="009C2808" w:rsidRDefault="009E2221">
      <w:pPr>
        <w:numPr>
          <w:ilvl w:val="0"/>
          <w:numId w:val="1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采用可拆式机芯结构，水表机芯在使用现场可取出维修或更换</w:t>
      </w:r>
    </w:p>
    <w:p w:rsidR="009C2808" w:rsidRDefault="009E2221">
      <w:pPr>
        <w:numPr>
          <w:ilvl w:val="0"/>
          <w:numId w:val="1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采用光电模式采样，直接读取字轮数据，与传统脉冲表相比，可将读数误差降低至零</w:t>
      </w:r>
    </w:p>
    <w:p w:rsidR="009C2808" w:rsidRDefault="009E2221">
      <w:pPr>
        <w:numPr>
          <w:ilvl w:val="0"/>
          <w:numId w:val="1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采用低功耗设计，配合大容量锂电池，使用寿命长</w:t>
      </w:r>
    </w:p>
    <w:p w:rsidR="009C2808" w:rsidRDefault="009E2221">
      <w:pPr>
        <w:numPr>
          <w:ilvl w:val="0"/>
          <w:numId w:val="1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内置不锈钢滤网设计，使测量元件得到最大程度保护</w:t>
      </w:r>
    </w:p>
    <w:p w:rsidR="009C2808" w:rsidRDefault="009E2221">
      <w:pPr>
        <w:numPr>
          <w:ilvl w:val="0"/>
          <w:numId w:val="1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高耐磨性轴承系统，确保产品的长期稳定性和可靠性</w:t>
      </w:r>
    </w:p>
    <w:p w:rsidR="009C2808" w:rsidRDefault="009E2221">
      <w:pPr>
        <w:numPr>
          <w:ilvl w:val="0"/>
          <w:numId w:val="1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表壳采用环氧树脂粉末热喷处理，整</w:t>
      </w:r>
      <w:proofErr w:type="gramStart"/>
      <w:r>
        <w:rPr>
          <w:rFonts w:ascii="宋体" w:eastAsia="宋体" w:hAnsi="宋体" w:cs="宋体" w:hint="eastAsia"/>
          <w:sz w:val="20"/>
          <w:szCs w:val="20"/>
        </w:rPr>
        <w:t>表符合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国家卫生部和欧洲饮用水标准要求</w:t>
      </w:r>
    </w:p>
    <w:p w:rsidR="009C2808" w:rsidRDefault="009E2221">
      <w:pPr>
        <w:numPr>
          <w:ilvl w:val="0"/>
          <w:numId w:val="1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始动流量低，灵敏度高，压力损失小，量程宽</w:t>
      </w:r>
    </w:p>
    <w:p w:rsidR="009C2808" w:rsidRDefault="009E2221">
      <w:pPr>
        <w:numPr>
          <w:ilvl w:val="0"/>
          <w:numId w:val="1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  <w:lang w:bidi="ar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结构紧凑，防护等级高，可达IP68</w:t>
      </w:r>
    </w:p>
    <w:p w:rsidR="009C2808" w:rsidRDefault="009E2221">
      <w:pPr>
        <w:numPr>
          <w:ilvl w:val="0"/>
          <w:numId w:val="1"/>
        </w:numPr>
        <w:spacing w:line="300" w:lineRule="exact"/>
        <w:outlineLvl w:val="0"/>
        <w:rPr>
          <w:rFonts w:ascii="宋体" w:eastAsia="宋体" w:hAnsi="宋体" w:cs="宋体"/>
          <w:sz w:val="18"/>
          <w:szCs w:val="18"/>
          <w:lang w:bidi="ar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安装尺寸同旋翼式能互换</w:t>
      </w:r>
    </w:p>
    <w:p w:rsidR="009C2808" w:rsidRDefault="009C2808">
      <w:pPr>
        <w:tabs>
          <w:tab w:val="left" w:pos="420"/>
        </w:tabs>
        <w:spacing w:line="300" w:lineRule="exact"/>
        <w:outlineLvl w:val="0"/>
        <w:rPr>
          <w:rFonts w:ascii="宋体" w:eastAsia="宋体" w:hAnsi="宋体" w:cs="宋体"/>
          <w:sz w:val="18"/>
          <w:szCs w:val="18"/>
          <w:lang w:bidi="ar"/>
        </w:rPr>
      </w:pPr>
    </w:p>
    <w:p w:rsidR="009C2808" w:rsidRDefault="009E2221">
      <w:pPr>
        <w:pStyle w:val="1"/>
        <w:spacing w:line="180" w:lineRule="atLeast"/>
        <w:ind w:firstLineChars="0" w:firstLine="0"/>
        <w:contextualSpacing/>
        <w:rPr>
          <w:b/>
          <w:sz w:val="20"/>
        </w:rPr>
      </w:pPr>
      <w:r>
        <w:rPr>
          <w:rFonts w:hint="eastAsia"/>
          <w:b/>
          <w:sz w:val="20"/>
        </w:rPr>
        <w:t>四、技术参数</w:t>
      </w:r>
    </w:p>
    <w:p w:rsidR="009C2808" w:rsidRDefault="009E2221">
      <w:pPr>
        <w:spacing w:line="300" w:lineRule="exact"/>
        <w:ind w:firstLineChars="200" w:firstLine="400"/>
        <w:outlineLvl w:val="0"/>
        <w:rPr>
          <w:rFonts w:ascii="宋体" w:eastAsia="宋体" w:hAnsi="宋体" w:cs="宋体"/>
          <w:sz w:val="20"/>
          <w:szCs w:val="20"/>
          <w:lang w:bidi="ar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该水表的各项技术指标均符合国家标准GB/T 778—2007《封闭满管道中水流量的</w:t>
      </w:r>
      <w:r>
        <w:rPr>
          <w:rFonts w:ascii="宋体" w:eastAsia="宋体" w:hAnsi="宋体" w:cs="宋体" w:hint="eastAsia"/>
          <w:sz w:val="20"/>
          <w:szCs w:val="20"/>
          <w:lang w:bidi="ar"/>
        </w:rPr>
        <w:lastRenderedPageBreak/>
        <w:t>测量  饮用冷水水表和热水水表》，CJ/T224-2012《电子远传水表》的规定。</w:t>
      </w:r>
    </w:p>
    <w:p w:rsidR="009C2808" w:rsidRDefault="009E2221">
      <w:pPr>
        <w:spacing w:line="300" w:lineRule="exact"/>
        <w:outlineLvl w:val="0"/>
        <w:rPr>
          <w:rFonts w:ascii="宋体" w:eastAsia="宋体" w:hAnsi="宋体" w:cs="宋体"/>
          <w:sz w:val="20"/>
          <w:szCs w:val="20"/>
          <w:lang w:bidi="ar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水表的安全性能符合CJ 266—2008《饮用水冷水水表安全规则》的规定。</w:t>
      </w:r>
    </w:p>
    <w:p w:rsidR="009C2808" w:rsidRDefault="009E2221">
      <w:pPr>
        <w:spacing w:line="300" w:lineRule="exact"/>
        <w:outlineLvl w:val="0"/>
        <w:rPr>
          <w:sz w:val="20"/>
        </w:rPr>
      </w:pPr>
      <w:r>
        <w:rPr>
          <w:rFonts w:ascii="宋体" w:eastAsia="宋体" w:hAnsi="宋体" w:cs="宋体" w:hint="eastAsia"/>
          <w:sz w:val="18"/>
          <w:szCs w:val="18"/>
          <w:lang w:bidi="ar"/>
        </w:rPr>
        <w:t xml:space="preserve"> </w:t>
      </w:r>
    </w:p>
    <w:p w:rsidR="009C2808" w:rsidRDefault="009E2221">
      <w:pPr>
        <w:spacing w:line="180" w:lineRule="atLeast"/>
        <w:ind w:firstLineChars="1300" w:firstLine="2600"/>
        <w:contextualSpacing/>
        <w:rPr>
          <w:sz w:val="20"/>
        </w:rPr>
      </w:pPr>
      <w:r>
        <w:rPr>
          <w:rFonts w:hint="eastAsia"/>
          <w:sz w:val="20"/>
        </w:rPr>
        <w:t>表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：产品技术指标</w:t>
      </w:r>
    </w:p>
    <w:tbl>
      <w:tblPr>
        <w:tblStyle w:val="a7"/>
        <w:tblpPr w:leftFromText="180" w:rightFromText="180" w:vertAnchor="page" w:horzAnchor="page" w:tblpX="1158" w:tblpY="2289"/>
        <w:tblW w:w="7062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2672"/>
      </w:tblGrid>
      <w:tr w:rsidR="009C2808">
        <w:tc>
          <w:tcPr>
            <w:tcW w:w="1413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977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最高工作压力</w:t>
            </w:r>
          </w:p>
        </w:tc>
        <w:tc>
          <w:tcPr>
            <w:tcW w:w="2672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proofErr w:type="spellStart"/>
            <w:r>
              <w:rPr>
                <w:sz w:val="20"/>
              </w:rPr>
              <w:t>MPa</w:t>
            </w:r>
            <w:proofErr w:type="spellEnd"/>
          </w:p>
        </w:tc>
      </w:tr>
      <w:tr w:rsidR="009C2808">
        <w:tc>
          <w:tcPr>
            <w:tcW w:w="1413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2977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总压力损失</w:t>
            </w:r>
          </w:p>
        </w:tc>
        <w:tc>
          <w:tcPr>
            <w:tcW w:w="2672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Δ</w:t>
            </w:r>
            <w:r>
              <w:rPr>
                <w:sz w:val="20"/>
              </w:rPr>
              <w:t xml:space="preserve">P </w:t>
            </w:r>
            <w:r>
              <w:rPr>
                <w:rFonts w:ascii="宋体" w:eastAsia="宋体" w:hAnsi="宋体" w:hint="eastAsia"/>
                <w:sz w:val="20"/>
              </w:rPr>
              <w:t>≤ 0.063</w:t>
            </w:r>
            <w:r>
              <w:rPr>
                <w:rFonts w:ascii="宋体" w:eastAsia="宋体" w:hAnsi="宋体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Ansi="宋体" w:hint="eastAsia"/>
                <w:sz w:val="20"/>
              </w:rPr>
              <w:t>Mpa</w:t>
            </w:r>
            <w:proofErr w:type="spellEnd"/>
          </w:p>
        </w:tc>
      </w:tr>
      <w:tr w:rsidR="009C2808">
        <w:tc>
          <w:tcPr>
            <w:tcW w:w="1413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977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准确度等级</w:t>
            </w:r>
          </w:p>
        </w:tc>
        <w:tc>
          <w:tcPr>
            <w:tcW w:w="2672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级</w:t>
            </w:r>
          </w:p>
        </w:tc>
      </w:tr>
      <w:tr w:rsidR="009C2808">
        <w:tc>
          <w:tcPr>
            <w:tcW w:w="1413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2977" w:type="dxa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抄表工作电流</w:t>
            </w:r>
          </w:p>
        </w:tc>
        <w:tc>
          <w:tcPr>
            <w:tcW w:w="2672" w:type="dxa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≤</w:t>
            </w:r>
            <w:r>
              <w:rPr>
                <w:rFonts w:ascii="Calibri" w:eastAsia="宋体" w:hAnsi="Calibri" w:cs="Calibri"/>
                <w:sz w:val="20"/>
                <w:szCs w:val="20"/>
                <w:lang w:bidi="ar"/>
              </w:rPr>
              <w:t>9m</w:t>
            </w:r>
            <w:r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A</w:t>
            </w:r>
          </w:p>
        </w:tc>
      </w:tr>
      <w:tr w:rsidR="009C2808">
        <w:tc>
          <w:tcPr>
            <w:tcW w:w="1413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2977" w:type="dxa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工作电流</w:t>
            </w:r>
          </w:p>
        </w:tc>
        <w:tc>
          <w:tcPr>
            <w:tcW w:w="2672" w:type="dxa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≤</w:t>
            </w:r>
            <w:r>
              <w:rPr>
                <w:rFonts w:ascii="Calibri" w:eastAsia="宋体" w:hAnsi="Calibri" w:cs="Calibri"/>
                <w:sz w:val="20"/>
                <w:szCs w:val="20"/>
                <w:lang w:bidi="ar"/>
              </w:rPr>
              <w:t>1.3mA</w:t>
            </w:r>
          </w:p>
        </w:tc>
      </w:tr>
      <w:tr w:rsidR="009C2808">
        <w:tc>
          <w:tcPr>
            <w:tcW w:w="1413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2977" w:type="dxa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电池类型</w:t>
            </w:r>
          </w:p>
        </w:tc>
        <w:tc>
          <w:tcPr>
            <w:tcW w:w="2672" w:type="dxa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Calibri"/>
                <w:sz w:val="20"/>
                <w:szCs w:val="20"/>
                <w:lang w:bidi="ar"/>
              </w:rPr>
              <w:t>3.6V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锂电池</w:t>
            </w:r>
          </w:p>
        </w:tc>
      </w:tr>
      <w:tr w:rsidR="009C2808">
        <w:tc>
          <w:tcPr>
            <w:tcW w:w="1413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2977" w:type="dxa"/>
          </w:tcPr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温度等级</w:t>
            </w:r>
          </w:p>
        </w:tc>
        <w:tc>
          <w:tcPr>
            <w:tcW w:w="2672" w:type="dxa"/>
          </w:tcPr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T30</w:t>
            </w:r>
          </w:p>
        </w:tc>
      </w:tr>
      <w:tr w:rsidR="009C2808">
        <w:tc>
          <w:tcPr>
            <w:tcW w:w="1413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2977" w:type="dxa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量程比</w:t>
            </w:r>
          </w:p>
        </w:tc>
        <w:tc>
          <w:tcPr>
            <w:tcW w:w="2672" w:type="dxa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R80/R160/R200</w:t>
            </w:r>
          </w:p>
        </w:tc>
      </w:tr>
      <w:tr w:rsidR="009C2808">
        <w:tc>
          <w:tcPr>
            <w:tcW w:w="1413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2977" w:type="dxa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数据采集方式</w:t>
            </w:r>
          </w:p>
        </w:tc>
        <w:tc>
          <w:tcPr>
            <w:tcW w:w="2672" w:type="dxa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光电直读</w:t>
            </w:r>
          </w:p>
        </w:tc>
      </w:tr>
      <w:tr w:rsidR="009C2808">
        <w:tc>
          <w:tcPr>
            <w:tcW w:w="1413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color w:val="0000FF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977" w:type="dxa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数据通讯方式</w:t>
            </w:r>
          </w:p>
        </w:tc>
        <w:tc>
          <w:tcPr>
            <w:tcW w:w="2672" w:type="dxa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4G</w:t>
            </w:r>
          </w:p>
        </w:tc>
      </w:tr>
      <w:tr w:rsidR="009C2808">
        <w:tc>
          <w:tcPr>
            <w:tcW w:w="1413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977" w:type="dxa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上传频次</w:t>
            </w:r>
          </w:p>
        </w:tc>
        <w:tc>
          <w:tcPr>
            <w:tcW w:w="2672" w:type="dxa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每天一次（默认），可更改</w:t>
            </w:r>
          </w:p>
        </w:tc>
      </w:tr>
      <w:tr w:rsidR="009C2808">
        <w:tc>
          <w:tcPr>
            <w:tcW w:w="1413" w:type="dxa"/>
          </w:tcPr>
          <w:p w:rsidR="009C2808" w:rsidRDefault="009E2221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2977" w:type="dxa"/>
          </w:tcPr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电池工作时间</w:t>
            </w:r>
          </w:p>
        </w:tc>
        <w:tc>
          <w:tcPr>
            <w:tcW w:w="2672" w:type="dxa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≥</w:t>
            </w: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6</w:t>
            </w: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年</w:t>
            </w:r>
          </w:p>
        </w:tc>
      </w:tr>
    </w:tbl>
    <w:p w:rsidR="009C2808" w:rsidRDefault="009C2808">
      <w:pPr>
        <w:spacing w:line="180" w:lineRule="atLeast"/>
        <w:contextualSpacing/>
        <w:rPr>
          <w:sz w:val="20"/>
        </w:rPr>
      </w:pPr>
    </w:p>
    <w:p w:rsidR="009C2808" w:rsidRDefault="009E2221">
      <w:pPr>
        <w:spacing w:line="240" w:lineRule="atLeast"/>
        <w:contextualSpacing/>
        <w:rPr>
          <w:sz w:val="20"/>
        </w:rPr>
      </w:pPr>
      <w:r>
        <w:rPr>
          <w:rFonts w:hint="eastAsia"/>
          <w:b/>
          <w:sz w:val="20"/>
        </w:rPr>
        <w:t>五、外观及尺寸</w:t>
      </w:r>
    </w:p>
    <w:p w:rsidR="009C2808" w:rsidRDefault="009E2221">
      <w:pPr>
        <w:spacing w:line="240" w:lineRule="atLeast"/>
        <w:contextualSpacing/>
        <w:rPr>
          <w:sz w:val="20"/>
        </w:rPr>
      </w:pPr>
      <w:r>
        <w:rPr>
          <w:rFonts w:asciiTheme="minorEastAsia" w:hAnsiTheme="minorEastAsia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170815</wp:posOffset>
            </wp:positionV>
            <wp:extent cx="4000500" cy="2218690"/>
            <wp:effectExtent l="0" t="0" r="0" b="3810"/>
            <wp:wrapNone/>
            <wp:docPr id="11" name="图片 2" descr="QQ图片2016051014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QQ图片201605101400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808" w:rsidRDefault="009C2808">
      <w:pPr>
        <w:spacing w:line="240" w:lineRule="atLeast"/>
        <w:contextualSpacing/>
        <w:rPr>
          <w:sz w:val="20"/>
        </w:rPr>
      </w:pPr>
    </w:p>
    <w:p w:rsidR="009C2808" w:rsidRDefault="009C2808">
      <w:pPr>
        <w:spacing w:line="240" w:lineRule="atLeast"/>
        <w:contextualSpacing/>
        <w:rPr>
          <w:sz w:val="20"/>
        </w:rPr>
      </w:pPr>
    </w:p>
    <w:p w:rsidR="009C2808" w:rsidRDefault="009C2808">
      <w:pPr>
        <w:spacing w:line="240" w:lineRule="atLeast"/>
        <w:contextualSpacing/>
        <w:rPr>
          <w:sz w:val="20"/>
        </w:rPr>
      </w:pPr>
    </w:p>
    <w:p w:rsidR="009C2808" w:rsidRDefault="009C2808">
      <w:pPr>
        <w:spacing w:line="240" w:lineRule="atLeast"/>
        <w:contextualSpacing/>
        <w:rPr>
          <w:sz w:val="20"/>
        </w:rPr>
      </w:pPr>
    </w:p>
    <w:p w:rsidR="009C2808" w:rsidRDefault="009C2808">
      <w:pPr>
        <w:spacing w:line="240" w:lineRule="atLeast"/>
        <w:contextualSpacing/>
        <w:rPr>
          <w:sz w:val="20"/>
        </w:rPr>
      </w:pPr>
    </w:p>
    <w:p w:rsidR="009C2808" w:rsidRDefault="009C2808">
      <w:pPr>
        <w:spacing w:line="240" w:lineRule="atLeast"/>
        <w:contextualSpacing/>
        <w:rPr>
          <w:sz w:val="20"/>
        </w:rPr>
      </w:pPr>
    </w:p>
    <w:p w:rsidR="009C2808" w:rsidRDefault="009C2808">
      <w:pPr>
        <w:spacing w:line="240" w:lineRule="atLeast"/>
        <w:contextualSpacing/>
        <w:rPr>
          <w:sz w:val="20"/>
        </w:rPr>
      </w:pPr>
    </w:p>
    <w:p w:rsidR="009C2808" w:rsidRDefault="009C2808">
      <w:pPr>
        <w:spacing w:line="240" w:lineRule="atLeast"/>
        <w:contextualSpacing/>
        <w:rPr>
          <w:sz w:val="20"/>
        </w:rPr>
      </w:pPr>
    </w:p>
    <w:p w:rsidR="009C2808" w:rsidRDefault="009C2808">
      <w:pPr>
        <w:spacing w:line="240" w:lineRule="atLeast"/>
        <w:ind w:firstLineChars="1500" w:firstLine="3000"/>
        <w:contextualSpacing/>
        <w:rPr>
          <w:sz w:val="20"/>
        </w:rPr>
      </w:pPr>
    </w:p>
    <w:p w:rsidR="009C2808" w:rsidRDefault="009C2808">
      <w:pPr>
        <w:spacing w:line="240" w:lineRule="atLeast"/>
        <w:ind w:firstLineChars="1500" w:firstLine="3000"/>
        <w:contextualSpacing/>
        <w:rPr>
          <w:sz w:val="20"/>
        </w:rPr>
      </w:pPr>
    </w:p>
    <w:p w:rsidR="009C2808" w:rsidRDefault="009C2808">
      <w:pPr>
        <w:spacing w:line="240" w:lineRule="atLeast"/>
        <w:contextualSpacing/>
        <w:rPr>
          <w:sz w:val="20"/>
        </w:rPr>
      </w:pPr>
    </w:p>
    <w:p w:rsidR="009C2808" w:rsidRDefault="009E2221">
      <w:pPr>
        <w:spacing w:line="240" w:lineRule="atLeast"/>
        <w:ind w:firstLineChars="1500" w:firstLine="3000"/>
        <w:contextualSpacing/>
        <w:rPr>
          <w:sz w:val="20"/>
        </w:rPr>
      </w:pPr>
      <w:r>
        <w:rPr>
          <w:rFonts w:hint="eastAsia"/>
          <w:sz w:val="20"/>
        </w:rPr>
        <w:t>图</w:t>
      </w:r>
      <w:r>
        <w:rPr>
          <w:rFonts w:hint="eastAsia"/>
          <w:sz w:val="20"/>
        </w:rPr>
        <w:t xml:space="preserve">1  </w:t>
      </w:r>
      <w:r>
        <w:rPr>
          <w:rFonts w:hint="eastAsia"/>
          <w:sz w:val="20"/>
        </w:rPr>
        <w:t>水表外观</w:t>
      </w:r>
    </w:p>
    <w:p w:rsidR="009C2808" w:rsidRDefault="009C2808">
      <w:pPr>
        <w:spacing w:line="240" w:lineRule="atLeast"/>
        <w:ind w:firstLineChars="1500" w:firstLine="3000"/>
        <w:contextualSpacing/>
        <w:rPr>
          <w:sz w:val="20"/>
        </w:rPr>
      </w:pPr>
    </w:p>
    <w:p w:rsidR="009C2808" w:rsidRDefault="009C2808">
      <w:pPr>
        <w:spacing w:line="240" w:lineRule="atLeast"/>
        <w:ind w:firstLineChars="1500" w:firstLine="3000"/>
        <w:contextualSpacing/>
        <w:rPr>
          <w:sz w:val="20"/>
        </w:rPr>
      </w:pPr>
    </w:p>
    <w:p w:rsidR="009C2808" w:rsidRDefault="009E2221">
      <w:pPr>
        <w:spacing w:line="240" w:lineRule="atLeast"/>
        <w:ind w:firstLineChars="1300" w:firstLine="2600"/>
        <w:contextualSpacing/>
        <w:rPr>
          <w:sz w:val="20"/>
        </w:rPr>
      </w:pPr>
      <w:r>
        <w:rPr>
          <w:rFonts w:hint="eastAsia"/>
          <w:sz w:val="20"/>
        </w:rPr>
        <w:t>表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：产品安装尺寸图</w:t>
      </w:r>
    </w:p>
    <w:p w:rsidR="009C2808" w:rsidRDefault="009C2808">
      <w:pPr>
        <w:spacing w:line="240" w:lineRule="atLeast"/>
        <w:ind w:firstLineChars="1500" w:firstLine="3000"/>
        <w:contextualSpacing/>
        <w:rPr>
          <w:sz w:val="20"/>
        </w:rPr>
      </w:pP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862"/>
        <w:gridCol w:w="861"/>
        <w:gridCol w:w="695"/>
        <w:gridCol w:w="1056"/>
        <w:gridCol w:w="683"/>
        <w:gridCol w:w="1056"/>
        <w:gridCol w:w="1056"/>
        <w:gridCol w:w="1299"/>
      </w:tblGrid>
      <w:tr w:rsidR="009C2808">
        <w:trPr>
          <w:trHeight w:val="463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型号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口径</w:t>
            </w:r>
          </w:p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DN</w:t>
            </w:r>
          </w:p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(mm）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高度</w:t>
            </w:r>
          </w:p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H</w:t>
            </w:r>
          </w:p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(mm)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长度</w:t>
            </w:r>
          </w:p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L</w:t>
            </w:r>
          </w:p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(mm)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拆卸</w:t>
            </w:r>
          </w:p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高度</w:t>
            </w:r>
          </w:p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&gt;G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连接法兰</w:t>
            </w:r>
          </w:p>
        </w:tc>
      </w:tr>
      <w:tr w:rsidR="009C2808">
        <w:trPr>
          <w:trHeight w:val="463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法兰</w:t>
            </w:r>
          </w:p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直径D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螺栓孔中心圆直径D1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连接</w:t>
            </w:r>
          </w:p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螺栓</w:t>
            </w:r>
          </w:p>
          <w:p w:rsidR="009C2808" w:rsidRDefault="009E222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数量（只）</w:t>
            </w:r>
          </w:p>
        </w:tc>
      </w:tr>
      <w:tr w:rsidR="009C2808"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垂直螺翼式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水表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4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×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M16</w:t>
            </w:r>
          </w:p>
        </w:tc>
      </w:tr>
      <w:tr w:rsidR="009C2808"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125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4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×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M16</w:t>
            </w:r>
          </w:p>
        </w:tc>
      </w:tr>
      <w:tr w:rsidR="009C2808"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65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145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4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×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M16</w:t>
            </w:r>
          </w:p>
        </w:tc>
      </w:tr>
      <w:tr w:rsidR="009C2808"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370/225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160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8(4)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×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M16</w:t>
            </w:r>
          </w:p>
        </w:tc>
      </w:tr>
      <w:tr w:rsidR="009C2808"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370/250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180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8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×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M16</w:t>
            </w:r>
          </w:p>
        </w:tc>
      </w:tr>
      <w:tr w:rsidR="009C2808"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440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500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565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240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8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×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M20</w:t>
            </w:r>
          </w:p>
        </w:tc>
      </w:tr>
      <w:tr w:rsidR="009C2808"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520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500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681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295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8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×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M20</w:t>
            </w:r>
          </w:p>
        </w:tc>
      </w:tr>
      <w:tr w:rsidR="009C2808"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水平螺翼式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水表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198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4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×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M16</w:t>
            </w:r>
          </w:p>
        </w:tc>
      </w:tr>
      <w:tr w:rsidR="009C2808"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205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125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4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×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M16</w:t>
            </w:r>
          </w:p>
        </w:tc>
      </w:tr>
      <w:tr w:rsidR="009C2808"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65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145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4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×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M16</w:t>
            </w:r>
          </w:p>
        </w:tc>
      </w:tr>
      <w:tr w:rsidR="009C2808"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225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160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8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（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4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）×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M16</w:t>
            </w:r>
          </w:p>
        </w:tc>
      </w:tr>
      <w:tr w:rsidR="009C2808"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290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180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8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×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M16</w:t>
            </w:r>
          </w:p>
        </w:tc>
      </w:tr>
      <w:tr w:rsidR="009C2808"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8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×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M16</w:t>
            </w:r>
          </w:p>
        </w:tc>
      </w:tr>
      <w:tr w:rsidR="009C2808"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240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8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×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M20</w:t>
            </w:r>
          </w:p>
        </w:tc>
      </w:tr>
      <w:tr w:rsidR="009C2808"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C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340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295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08" w:rsidRDefault="009E2221">
            <w:pPr>
              <w:spacing w:line="240" w:lineRule="atLeast"/>
              <w:jc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8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（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12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）×</w:t>
            </w:r>
            <w:r>
              <w:rPr>
                <w:rFonts w:ascii="Calibri" w:eastAsia="宋体" w:hAnsi="Calibri" w:cs="Calibri" w:hint="eastAsia"/>
                <w:sz w:val="20"/>
                <w:szCs w:val="20"/>
                <w:lang w:bidi="ar"/>
              </w:rPr>
              <w:t>M20</w:t>
            </w:r>
          </w:p>
        </w:tc>
      </w:tr>
    </w:tbl>
    <w:p w:rsidR="009C2808" w:rsidRDefault="009C2808">
      <w:pPr>
        <w:spacing w:line="240" w:lineRule="atLeast"/>
        <w:contextualSpacing/>
        <w:jc w:val="center"/>
        <w:rPr>
          <w:sz w:val="20"/>
        </w:rPr>
      </w:pPr>
    </w:p>
    <w:p w:rsidR="009C2808" w:rsidRDefault="009E2221">
      <w:pPr>
        <w:spacing w:line="240" w:lineRule="atLeast"/>
        <w:contextualSpacing/>
        <w:rPr>
          <w:rFonts w:ascii="宋体" w:eastAsia="宋体" w:hAnsi="宋体" w:cs="宋体"/>
          <w:b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sz w:val="20"/>
          <w:szCs w:val="20"/>
          <w:lang w:bidi="ar"/>
        </w:rPr>
        <w:t>六、安装注意事项</w:t>
      </w:r>
    </w:p>
    <w:p w:rsidR="009C2808" w:rsidRDefault="009C2808">
      <w:pPr>
        <w:spacing w:line="240" w:lineRule="atLeast"/>
        <w:contextualSpacing/>
        <w:rPr>
          <w:rFonts w:ascii="宋体" w:eastAsia="宋体" w:hAnsi="宋体" w:cs="宋体"/>
          <w:b/>
          <w:sz w:val="20"/>
          <w:szCs w:val="20"/>
          <w:lang w:bidi="ar"/>
        </w:rPr>
      </w:pPr>
    </w:p>
    <w:p w:rsidR="009C2808" w:rsidRDefault="009E2221">
      <w:pPr>
        <w:pStyle w:val="1"/>
        <w:numPr>
          <w:ilvl w:val="0"/>
          <w:numId w:val="2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本产品适用型号是依据系统流量而不是系统管径来决定，应该按照常用流量大小来决定水表的公称口径与型号；</w:t>
      </w:r>
    </w:p>
    <w:p w:rsidR="009C2808" w:rsidRDefault="009E2221">
      <w:pPr>
        <w:pStyle w:val="1"/>
        <w:numPr>
          <w:ilvl w:val="0"/>
          <w:numId w:val="2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水表安装时表壳箭头方向必须与水流方向一致；</w:t>
      </w:r>
    </w:p>
    <w:p w:rsidR="009C2808" w:rsidRDefault="009E2221">
      <w:pPr>
        <w:pStyle w:val="1"/>
        <w:numPr>
          <w:ilvl w:val="0"/>
          <w:numId w:val="2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安装位置要避免暴晒、冰冻、污染、潮湿和水淹，寒冬季节应采取保温措施；</w:t>
      </w:r>
    </w:p>
    <w:p w:rsidR="009C2808" w:rsidRDefault="009E2221">
      <w:pPr>
        <w:pStyle w:val="1"/>
        <w:numPr>
          <w:ilvl w:val="0"/>
          <w:numId w:val="2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水表要尽量选择便于拆装和观察读数的位置安装，供水前必须在表前后安装阀门；</w:t>
      </w:r>
    </w:p>
    <w:p w:rsidR="009C2808" w:rsidRDefault="009E2221">
      <w:pPr>
        <w:pStyle w:val="1"/>
        <w:numPr>
          <w:ilvl w:val="0"/>
          <w:numId w:val="2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lastRenderedPageBreak/>
        <w:t>安装水表时，需在水表进水</w:t>
      </w:r>
      <w:proofErr w:type="gramStart"/>
      <w:r>
        <w:rPr>
          <w:rFonts w:hint="eastAsia"/>
          <w:sz w:val="20"/>
        </w:rPr>
        <w:t>端安</w:t>
      </w:r>
      <w:proofErr w:type="gramEnd"/>
      <w:r>
        <w:rPr>
          <w:rFonts w:hint="eastAsia"/>
          <w:sz w:val="20"/>
        </w:rPr>
        <w:t>装止回阀，防止水回流损毁水表；</w:t>
      </w:r>
    </w:p>
    <w:p w:rsidR="009C2808" w:rsidRDefault="009E2221">
      <w:pPr>
        <w:pStyle w:val="1"/>
        <w:numPr>
          <w:ilvl w:val="0"/>
          <w:numId w:val="2"/>
        </w:numPr>
        <w:spacing w:line="240" w:lineRule="atLeast"/>
        <w:ind w:firstLineChars="0"/>
        <w:contextualSpacing/>
        <w:rPr>
          <w:rFonts w:hint="eastAsia"/>
          <w:sz w:val="20"/>
        </w:rPr>
      </w:pPr>
      <w:r>
        <w:rPr>
          <w:rFonts w:hint="eastAsia"/>
          <w:sz w:val="20"/>
        </w:rPr>
        <w:t>采用水平安装方式，尽量避免安装在管路转弯的位置；</w:t>
      </w:r>
    </w:p>
    <w:p w:rsidR="00D47170" w:rsidRPr="00D47170" w:rsidRDefault="00D47170" w:rsidP="00D47170">
      <w:pPr>
        <w:pStyle w:val="1"/>
        <w:numPr>
          <w:ilvl w:val="0"/>
          <w:numId w:val="2"/>
        </w:numPr>
        <w:spacing w:line="240" w:lineRule="atLeast"/>
        <w:ind w:firstLineChars="0"/>
        <w:contextualSpacing/>
        <w:rPr>
          <w:sz w:val="20"/>
        </w:rPr>
      </w:pPr>
      <w:r w:rsidRPr="00722D30">
        <w:rPr>
          <w:rFonts w:hint="eastAsia"/>
          <w:sz w:val="20"/>
        </w:rPr>
        <w:t>水表在井下安装时，需保证为特定防水水表，且应在距井底</w:t>
      </w:r>
      <w:r w:rsidRPr="00722D30">
        <w:rPr>
          <w:rFonts w:hint="eastAsia"/>
          <w:sz w:val="20"/>
        </w:rPr>
        <w:t>20</w:t>
      </w:r>
      <w:r w:rsidRPr="00722D30">
        <w:rPr>
          <w:rFonts w:hint="eastAsia"/>
          <w:sz w:val="20"/>
        </w:rPr>
        <w:t>公分以上位置安装。</w:t>
      </w:r>
    </w:p>
    <w:p w:rsidR="009C2808" w:rsidRDefault="009E2221">
      <w:pPr>
        <w:pStyle w:val="1"/>
        <w:numPr>
          <w:ilvl w:val="0"/>
          <w:numId w:val="2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机械式基表如需倾斜安装，倾斜角度控制在</w:t>
      </w:r>
      <w:r>
        <w:rPr>
          <w:rFonts w:hint="eastAsia"/>
          <w:sz w:val="20"/>
        </w:rPr>
        <w:t>30</w:t>
      </w:r>
      <w:r>
        <w:rPr>
          <w:rFonts w:hint="eastAsia"/>
          <w:sz w:val="20"/>
        </w:rPr>
        <w:t>度以内，超过规定的倾斜角度，水表计量精度无法保证在标定精度内；</w:t>
      </w:r>
    </w:p>
    <w:p w:rsidR="009C2808" w:rsidRDefault="009E2221">
      <w:pPr>
        <w:pStyle w:val="1"/>
        <w:numPr>
          <w:ilvl w:val="0"/>
          <w:numId w:val="2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电子计量部分如使用外置天线，需置于水表井最上方贴近井盖的位置，如无法悬挂则在井盖边缘打孔安装天线，确保安装牢固不会掉落，另外孔位距离地表</w:t>
      </w:r>
      <w:r>
        <w:rPr>
          <w:rFonts w:hint="eastAsia"/>
          <w:sz w:val="20"/>
        </w:rPr>
        <w:t>5-10CM</w:t>
      </w:r>
      <w:r>
        <w:rPr>
          <w:rFonts w:hint="eastAsia"/>
          <w:sz w:val="20"/>
        </w:rPr>
        <w:t>，太深可能会导致信号无法覆盖，水表数据无法正常传输；</w:t>
      </w:r>
    </w:p>
    <w:p w:rsidR="009C2808" w:rsidRDefault="009E2221">
      <w:pPr>
        <w:pStyle w:val="1"/>
        <w:numPr>
          <w:ilvl w:val="0"/>
          <w:numId w:val="2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水表应安装在远离水泵、电机、等强磁场的环境；</w:t>
      </w:r>
    </w:p>
    <w:p w:rsidR="009C2808" w:rsidRDefault="009E2221">
      <w:pPr>
        <w:pStyle w:val="1"/>
        <w:numPr>
          <w:ilvl w:val="0"/>
          <w:numId w:val="2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本产品属于精密计量器具，需轻拿轻放，不得使用硬物碰撞表具，禁止</w:t>
      </w:r>
      <w:proofErr w:type="gramStart"/>
      <w:r>
        <w:rPr>
          <w:rFonts w:hint="eastAsia"/>
          <w:sz w:val="20"/>
        </w:rPr>
        <w:t>提拽表</w:t>
      </w:r>
      <w:proofErr w:type="gramEnd"/>
      <w:r>
        <w:rPr>
          <w:rFonts w:hint="eastAsia"/>
          <w:sz w:val="20"/>
        </w:rPr>
        <w:t>头；严禁靠近较高温度热源（如电气焊），以免损坏表具，影响正常使用；</w:t>
      </w:r>
      <w:r>
        <w:rPr>
          <w:rFonts w:hint="eastAsia"/>
          <w:sz w:val="20"/>
        </w:rPr>
        <w:t xml:space="preserve">  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11</w:t>
      </w:r>
      <w:r>
        <w:rPr>
          <w:rFonts w:hint="eastAsia"/>
          <w:sz w:val="20"/>
        </w:rPr>
        <w:t>、注意安装预留尺寸必须符合水表外形尺寸安装要求，以免水表外壳受力损坏；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12</w:t>
      </w:r>
      <w:r>
        <w:rPr>
          <w:rFonts w:hint="eastAsia"/>
          <w:sz w:val="20"/>
        </w:rPr>
        <w:t>、非指定专业人员不得私自拆卸或维修本产品，否则责任自负。</w:t>
      </w: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E2221">
      <w:pPr>
        <w:numPr>
          <w:ilvl w:val="0"/>
          <w:numId w:val="3"/>
        </w:numPr>
        <w:spacing w:line="240" w:lineRule="atLeast"/>
        <w:contextualSpacing/>
        <w:rPr>
          <w:rFonts w:ascii="宋体" w:eastAsia="宋体" w:hAnsi="宋体" w:cs="宋体"/>
          <w:b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sz w:val="20"/>
          <w:szCs w:val="20"/>
          <w:lang w:bidi="ar"/>
        </w:rPr>
        <w:t>使用注意事项</w:t>
      </w:r>
    </w:p>
    <w:p w:rsidR="009C2808" w:rsidRDefault="009C2808">
      <w:pPr>
        <w:spacing w:line="240" w:lineRule="atLeast"/>
        <w:contextualSpacing/>
        <w:rPr>
          <w:rFonts w:ascii="宋体" w:eastAsia="宋体" w:hAnsi="宋体" w:cs="宋体"/>
          <w:b/>
          <w:sz w:val="20"/>
          <w:szCs w:val="20"/>
          <w:lang w:bidi="ar"/>
        </w:rPr>
      </w:pP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、水表基表内部属于机械式结构，</w:t>
      </w:r>
      <w:proofErr w:type="gramStart"/>
      <w:r>
        <w:rPr>
          <w:rFonts w:hint="eastAsia"/>
          <w:sz w:val="20"/>
        </w:rPr>
        <w:t>请避免</w:t>
      </w:r>
      <w:proofErr w:type="gramEnd"/>
      <w:r>
        <w:rPr>
          <w:rFonts w:hint="eastAsia"/>
          <w:sz w:val="20"/>
        </w:rPr>
        <w:t>管道内进入石子、泥沙、麻丝等杂物，以免造成不必要的产品故障；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、确保管道内无气泡产生源，以免造成水表空转；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3</w:t>
      </w:r>
      <w:r>
        <w:rPr>
          <w:rFonts w:hint="eastAsia"/>
          <w:sz w:val="20"/>
        </w:rPr>
        <w:t>、保护好表体，严禁破坏，以免给您的计量造成影响；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4</w:t>
      </w:r>
      <w:r>
        <w:rPr>
          <w:rFonts w:hint="eastAsia"/>
          <w:sz w:val="20"/>
        </w:rPr>
        <w:t>、发现产品有异常情况，请及时反馈给管理部门。</w:t>
      </w: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E2221">
      <w:pPr>
        <w:numPr>
          <w:ilvl w:val="0"/>
          <w:numId w:val="3"/>
        </w:numPr>
        <w:spacing w:line="240" w:lineRule="atLeast"/>
        <w:contextualSpacing/>
        <w:rPr>
          <w:rFonts w:ascii="宋体" w:eastAsia="宋体" w:hAnsi="宋体" w:cs="宋体"/>
          <w:b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sz w:val="20"/>
          <w:szCs w:val="20"/>
          <w:lang w:bidi="ar"/>
        </w:rPr>
        <w:t>产品质保条件</w:t>
      </w:r>
    </w:p>
    <w:p w:rsidR="009C2808" w:rsidRDefault="009C2808">
      <w:pPr>
        <w:spacing w:line="240" w:lineRule="atLeast"/>
        <w:contextualSpacing/>
        <w:rPr>
          <w:rFonts w:ascii="宋体" w:eastAsia="宋体" w:hAnsi="宋体" w:cs="宋体"/>
          <w:b/>
          <w:sz w:val="20"/>
          <w:szCs w:val="20"/>
          <w:lang w:bidi="ar"/>
        </w:rPr>
      </w:pP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水表使用遵循以下行业、国家标准和检定规程：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水表相关行业标准：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IC</w:t>
      </w:r>
      <w:r>
        <w:rPr>
          <w:rFonts w:hint="eastAsia"/>
          <w:sz w:val="20"/>
        </w:rPr>
        <w:t>卡水表</w:t>
      </w:r>
      <w:r>
        <w:rPr>
          <w:rFonts w:hint="eastAsia"/>
          <w:sz w:val="20"/>
        </w:rPr>
        <w:t>CJ/T 133-2012</w:t>
      </w:r>
      <w:r>
        <w:rPr>
          <w:rFonts w:hint="eastAsia"/>
          <w:sz w:val="20"/>
        </w:rPr>
        <w:t>《</w:t>
      </w:r>
      <w:r>
        <w:rPr>
          <w:rFonts w:hint="eastAsia"/>
          <w:sz w:val="20"/>
        </w:rPr>
        <w:t>IC</w:t>
      </w:r>
      <w:r>
        <w:rPr>
          <w:rFonts w:hint="eastAsia"/>
          <w:sz w:val="20"/>
        </w:rPr>
        <w:t>卡冷水水表》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电子远传水表</w:t>
      </w:r>
      <w:r>
        <w:rPr>
          <w:rFonts w:hint="eastAsia"/>
          <w:sz w:val="20"/>
        </w:rPr>
        <w:t>CJ/T 224-2012</w:t>
      </w:r>
      <w:r>
        <w:rPr>
          <w:rFonts w:hint="eastAsia"/>
          <w:sz w:val="20"/>
        </w:rPr>
        <w:t>《</w:t>
      </w:r>
      <w:r>
        <w:rPr>
          <w:rFonts w:hint="eastAsia"/>
          <w:sz w:val="20"/>
        </w:rPr>
        <w:t>IC</w:t>
      </w:r>
      <w:r>
        <w:rPr>
          <w:rFonts w:hint="eastAsia"/>
          <w:sz w:val="20"/>
        </w:rPr>
        <w:t>卡冷水水表》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超声波水表</w:t>
      </w:r>
      <w:r>
        <w:rPr>
          <w:rFonts w:hint="eastAsia"/>
          <w:sz w:val="20"/>
        </w:rPr>
        <w:t>CJ/T 434-2013</w:t>
      </w:r>
      <w:r>
        <w:rPr>
          <w:rFonts w:hint="eastAsia"/>
          <w:sz w:val="20"/>
        </w:rPr>
        <w:t>《超声波水表》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水表国家标准及检定规程：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GB/T778-2018</w:t>
      </w:r>
      <w:r>
        <w:rPr>
          <w:rFonts w:hint="eastAsia"/>
          <w:sz w:val="20"/>
        </w:rPr>
        <w:t>《饮用冷水水表和热水水表》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lastRenderedPageBreak/>
        <w:t>JJG162-2019</w:t>
      </w:r>
      <w:r>
        <w:rPr>
          <w:rFonts w:hint="eastAsia"/>
          <w:sz w:val="20"/>
        </w:rPr>
        <w:t>《饮用冷水水表》</w:t>
      </w: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以下使用条件，造成的损坏，不在质</w:t>
      </w:r>
      <w:proofErr w:type="gramStart"/>
      <w:r>
        <w:rPr>
          <w:rFonts w:hint="eastAsia"/>
          <w:sz w:val="20"/>
        </w:rPr>
        <w:t>保范围</w:t>
      </w:r>
      <w:proofErr w:type="gramEnd"/>
      <w:r>
        <w:rPr>
          <w:rFonts w:hint="eastAsia"/>
          <w:sz w:val="20"/>
        </w:rPr>
        <w:t>内：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、长期泥淹水泡，导致锈死；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、水质或管网内杂质过多导致产品故障；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3</w:t>
      </w:r>
      <w:r>
        <w:rPr>
          <w:rFonts w:hint="eastAsia"/>
          <w:sz w:val="20"/>
        </w:rPr>
        <w:t>、人为损坏、拆卸铅封、硬物砸坏、火烤等损坏表体结构；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4</w:t>
      </w:r>
      <w:r>
        <w:rPr>
          <w:rFonts w:hint="eastAsia"/>
          <w:sz w:val="20"/>
        </w:rPr>
        <w:t>、水温过高，环境温度超过国标正常规定；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5</w:t>
      </w:r>
      <w:r>
        <w:rPr>
          <w:rFonts w:hint="eastAsia"/>
          <w:sz w:val="20"/>
        </w:rPr>
        <w:t>、因管网问题或现场安装环境不符合标准要求；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6</w:t>
      </w:r>
      <w:r>
        <w:rPr>
          <w:rFonts w:hint="eastAsia"/>
          <w:sz w:val="20"/>
        </w:rPr>
        <w:t>、有线远传表信号线</w:t>
      </w:r>
      <w:r>
        <w:rPr>
          <w:rFonts w:hint="eastAsia"/>
          <w:sz w:val="20"/>
        </w:rPr>
        <w:t>/</w:t>
      </w:r>
      <w:r>
        <w:rPr>
          <w:rFonts w:hint="eastAsia"/>
          <w:sz w:val="20"/>
        </w:rPr>
        <w:t>电源线接入强电、电源线接反导致电路烧坏；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7</w:t>
      </w:r>
      <w:r>
        <w:rPr>
          <w:rFonts w:hint="eastAsia"/>
          <w:sz w:val="20"/>
        </w:rPr>
        <w:t>、擅自更改抄表</w:t>
      </w:r>
      <w:r>
        <w:rPr>
          <w:rFonts w:hint="eastAsia"/>
          <w:sz w:val="20"/>
        </w:rPr>
        <w:t>/</w:t>
      </w:r>
      <w:r>
        <w:rPr>
          <w:rFonts w:hint="eastAsia"/>
          <w:sz w:val="20"/>
        </w:rPr>
        <w:t>上传频率，导致电池没电；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8</w:t>
      </w:r>
      <w:r>
        <w:rPr>
          <w:rFonts w:hint="eastAsia"/>
          <w:sz w:val="20"/>
        </w:rPr>
        <w:t>、无线远传表安装现场运营商信号强度不满足产品数据传输要求；</w:t>
      </w:r>
    </w:p>
    <w:p w:rsidR="009C2808" w:rsidRDefault="009E2221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9</w:t>
      </w:r>
      <w:r>
        <w:rPr>
          <w:rFonts w:hint="eastAsia"/>
          <w:sz w:val="20"/>
        </w:rPr>
        <w:t>、无线远传表安装现场，因金属井盖</w:t>
      </w:r>
      <w:r>
        <w:rPr>
          <w:rFonts w:hint="eastAsia"/>
          <w:sz w:val="20"/>
        </w:rPr>
        <w:t>/</w:t>
      </w:r>
      <w:r>
        <w:rPr>
          <w:rFonts w:hint="eastAsia"/>
          <w:sz w:val="20"/>
        </w:rPr>
        <w:t>金属门等信号屏蔽导致数据传输信号弱。</w:t>
      </w: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  <w:bookmarkStart w:id="0" w:name="_GoBack"/>
      <w:bookmarkEnd w:id="0"/>
    </w:p>
    <w:p w:rsidR="009C2808" w:rsidRDefault="009C2808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9C2808" w:rsidRDefault="009E2221">
      <w:pPr>
        <w:pStyle w:val="1"/>
        <w:spacing w:line="240" w:lineRule="atLeast"/>
        <w:ind w:firstLineChars="300" w:firstLine="630"/>
        <w:contextualSpacing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139065</wp:posOffset>
            </wp:positionV>
            <wp:extent cx="294640" cy="257175"/>
            <wp:effectExtent l="0" t="0" r="10160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2808" w:rsidRDefault="009E2221">
      <w:pPr>
        <w:pStyle w:val="1"/>
        <w:spacing w:line="240" w:lineRule="atLeast"/>
        <w:ind w:firstLineChars="300" w:firstLine="600"/>
        <w:contextualSpacing/>
        <w:rPr>
          <w:sz w:val="20"/>
        </w:rPr>
      </w:pPr>
      <w:proofErr w:type="gramStart"/>
      <w:r>
        <w:rPr>
          <w:rFonts w:hint="eastAsia"/>
          <w:sz w:val="20"/>
        </w:rPr>
        <w:t>本使用</w:t>
      </w:r>
      <w:proofErr w:type="gramEnd"/>
      <w:r>
        <w:rPr>
          <w:rFonts w:hint="eastAsia"/>
          <w:sz w:val="20"/>
        </w:rPr>
        <w:t>说明我厂保留所有的权利，产品如若升级或修改，恕不另行通知！</w:t>
      </w:r>
    </w:p>
    <w:sectPr w:rsidR="009C2808">
      <w:headerReference w:type="default" r:id="rId12"/>
      <w:footerReference w:type="default" r:id="rId13"/>
      <w:pgSz w:w="16838" w:h="11906" w:orient="landscape"/>
      <w:pgMar w:top="851" w:right="851" w:bottom="851" w:left="851" w:header="454" w:footer="284" w:gutter="0"/>
      <w:pgNumType w:start="2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0D" w:rsidRDefault="0071640D">
      <w:r>
        <w:separator/>
      </w:r>
    </w:p>
  </w:endnote>
  <w:endnote w:type="continuationSeparator" w:id="0">
    <w:p w:rsidR="0071640D" w:rsidRDefault="0071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08" w:rsidRDefault="009E2221">
    <w:pPr>
      <w:pStyle w:val="a4"/>
      <w:jc w:val="center"/>
    </w:pPr>
    <w:r>
      <w:rPr>
        <w:rFonts w:hint="eastAsia"/>
      </w:rPr>
      <w:t>传真：</w:t>
    </w:r>
    <w:r>
      <w:rPr>
        <w:rFonts w:hint="eastAsia"/>
      </w:rPr>
      <w:t xml:space="preserve">010-67880119     </w:t>
    </w:r>
    <w:r>
      <w:t xml:space="preserve">     </w:t>
    </w:r>
    <w:r>
      <w:t>网址：</w:t>
    </w:r>
    <w:r>
      <w:t>http://www.ydyb.com</w:t>
    </w:r>
    <w:r>
      <w:rPr>
        <w:rFonts w:hint="eastAsia"/>
      </w:rPr>
      <w:t xml:space="preserve">                                    </w:t>
    </w:r>
    <w:r>
      <w:t>全国统一客服：</w:t>
    </w:r>
    <w:r>
      <w:rPr>
        <w:rFonts w:hint="eastAsia"/>
      </w:rPr>
      <w:t xml:space="preserve">400-666-6613          </w:t>
    </w:r>
    <w:r>
      <w:rPr>
        <w:rFonts w:hint="eastAsia"/>
      </w:rPr>
      <w:t>地址：</w:t>
    </w:r>
    <w:r>
      <w:t>北京经济技术开发区兴盛街</w:t>
    </w:r>
    <w:r>
      <w:rPr>
        <w:rFonts w:hint="eastAsia"/>
      </w:rPr>
      <w:t>19</w:t>
    </w:r>
    <w:r>
      <w:rPr>
        <w:rFonts w:hint="eastAsia"/>
      </w:rPr>
      <w:t>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0D" w:rsidRDefault="0071640D">
      <w:r>
        <w:separator/>
      </w:r>
    </w:p>
  </w:footnote>
  <w:footnote w:type="continuationSeparator" w:id="0">
    <w:p w:rsidR="0071640D" w:rsidRDefault="00716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08" w:rsidRDefault="009E2221">
    <w:pPr>
      <w:pStyle w:val="a5"/>
      <w:pBdr>
        <w:bottom w:val="none" w:sz="0" w:space="0" w:color="auto"/>
      </w:pBdr>
      <w:jc w:val="both"/>
    </w:pPr>
    <w:r>
      <w:rPr>
        <w:rFonts w:ascii="Arial" w:eastAsia="幼圆" w:hAnsi="Arial" w:cs="楷体_GB2312" w:hint="eastAsia"/>
        <w:kern w:val="0"/>
      </w:rPr>
      <w:t xml:space="preserve"> </w:t>
    </w:r>
    <w:r>
      <w:rPr>
        <w:noProof/>
        <w:kern w:val="0"/>
      </w:rPr>
      <w:drawing>
        <wp:inline distT="0" distB="0" distL="0" distR="0">
          <wp:extent cx="1219200" cy="276225"/>
          <wp:effectExtent l="0" t="0" r="0" b="9525"/>
          <wp:docPr id="5" name="图片 5" descr="logo-20160808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-20160808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 w:hint="eastAsia"/>
        <w:kern w:val="0"/>
      </w:rPr>
      <w:t>益都智能技术（北京）</w:t>
    </w:r>
    <w:r w:rsidR="00D47170">
      <w:rPr>
        <w:rFonts w:ascii="Arial" w:eastAsia="幼圆" w:hAnsi="Arial" w:cs="楷体_GB2312" w:hint="eastAsia"/>
        <w:kern w:val="0"/>
      </w:rPr>
      <w:t>集团</w:t>
    </w:r>
    <w:r>
      <w:rPr>
        <w:rFonts w:ascii="Arial" w:eastAsia="幼圆" w:hAnsi="Arial" w:cs="楷体_GB2312" w:hint="eastAsia"/>
        <w:kern w:val="0"/>
      </w:rPr>
      <w:t>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D9037"/>
    <w:multiLevelType w:val="singleLevel"/>
    <w:tmpl w:val="893D9037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7E0EC1"/>
    <w:multiLevelType w:val="multilevel"/>
    <w:tmpl w:val="3B7E0E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922E09"/>
    <w:multiLevelType w:val="multilevel"/>
    <w:tmpl w:val="6E922E09"/>
    <w:lvl w:ilvl="0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017993"/>
    <w:multiLevelType w:val="multilevel"/>
    <w:tmpl w:val="7C017993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GQ0MzU5ZmEzOGVjYzQ4MTlhZjBlMTZmMmQ1YTYifQ=="/>
  </w:docVars>
  <w:rsids>
    <w:rsidRoot w:val="006F0ECA"/>
    <w:rsid w:val="0002082D"/>
    <w:rsid w:val="00111E77"/>
    <w:rsid w:val="00183034"/>
    <w:rsid w:val="002331CA"/>
    <w:rsid w:val="00286FF6"/>
    <w:rsid w:val="00291655"/>
    <w:rsid w:val="003024F8"/>
    <w:rsid w:val="0038484E"/>
    <w:rsid w:val="003C0A91"/>
    <w:rsid w:val="004662FE"/>
    <w:rsid w:val="00471C5E"/>
    <w:rsid w:val="00486E8D"/>
    <w:rsid w:val="005558F4"/>
    <w:rsid w:val="005E013A"/>
    <w:rsid w:val="006C568F"/>
    <w:rsid w:val="006F0ECA"/>
    <w:rsid w:val="00701819"/>
    <w:rsid w:val="0071640D"/>
    <w:rsid w:val="00727D26"/>
    <w:rsid w:val="007D0EAC"/>
    <w:rsid w:val="007F09FE"/>
    <w:rsid w:val="00856C3F"/>
    <w:rsid w:val="008E731C"/>
    <w:rsid w:val="009A4B0E"/>
    <w:rsid w:val="009C2808"/>
    <w:rsid w:val="009E2221"/>
    <w:rsid w:val="00A14B62"/>
    <w:rsid w:val="00B4035E"/>
    <w:rsid w:val="00BF6690"/>
    <w:rsid w:val="00C702FC"/>
    <w:rsid w:val="00CA13A0"/>
    <w:rsid w:val="00D1319C"/>
    <w:rsid w:val="00D30AC8"/>
    <w:rsid w:val="00D47170"/>
    <w:rsid w:val="00D739E9"/>
    <w:rsid w:val="00DB09BC"/>
    <w:rsid w:val="00FA5FEF"/>
    <w:rsid w:val="00FB3F9D"/>
    <w:rsid w:val="086527C2"/>
    <w:rsid w:val="1C2B6BEB"/>
    <w:rsid w:val="1E401394"/>
    <w:rsid w:val="237E2A3E"/>
    <w:rsid w:val="289B02D8"/>
    <w:rsid w:val="2F6D4B02"/>
    <w:rsid w:val="375241BA"/>
    <w:rsid w:val="3A8A121A"/>
    <w:rsid w:val="3F937BAE"/>
    <w:rsid w:val="4B0714F6"/>
    <w:rsid w:val="4EB9689F"/>
    <w:rsid w:val="5E2F4819"/>
    <w:rsid w:val="5F9346C0"/>
    <w:rsid w:val="66581F61"/>
    <w:rsid w:val="68225B80"/>
    <w:rsid w:val="6C7513A9"/>
    <w:rsid w:val="6F60051B"/>
    <w:rsid w:val="728C6444"/>
    <w:rsid w:val="72FA5040"/>
    <w:rsid w:val="7AA72057"/>
    <w:rsid w:val="7D18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Times New Roman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Times New Roman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5D7AE-3680-4A0E-A5FA-C2B5341E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Duke</dc:creator>
  <cp:lastModifiedBy>Cui</cp:lastModifiedBy>
  <cp:revision>3</cp:revision>
  <cp:lastPrinted>2017-09-28T08:35:00Z</cp:lastPrinted>
  <dcterms:created xsi:type="dcterms:W3CDTF">2017-09-28T08:41:00Z</dcterms:created>
  <dcterms:modified xsi:type="dcterms:W3CDTF">2024-03-23T08:20:00Z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1C7B994CA3DE4586A5F156DF56E45919_13</vt:lpwstr>
  </property>
</Properties>
</file>