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49" w:rsidRDefault="00601EEE">
      <w:pPr>
        <w:ind w:firstLineChars="100" w:firstLine="210"/>
        <w:rPr>
          <w:rFonts w:ascii="Arial" w:eastAsia="幼圆" w:hAnsi="Arial" w:cs="Arial"/>
          <w:b/>
          <w:sz w:val="32"/>
        </w:rPr>
      </w:pPr>
      <w:r>
        <w:rPr>
          <w:noProof/>
        </w:rPr>
        <w:drawing>
          <wp:inline distT="0" distB="0" distL="0" distR="0">
            <wp:extent cx="1371600" cy="5842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9"/>
                    <a:srcRect/>
                    <a:stretch>
                      <a:fillRect/>
                    </a:stretch>
                  </pic:blipFill>
                  <pic:spPr>
                    <a:xfrm>
                      <a:off x="0" y="0"/>
                      <a:ext cx="1412901" cy="601908"/>
                    </a:xfrm>
                    <a:prstGeom prst="rect">
                      <a:avLst/>
                    </a:prstGeom>
                    <a:noFill/>
                    <a:ln w="9525">
                      <a:noFill/>
                      <a:miter lim="800000"/>
                      <a:headEnd/>
                      <a:tailEnd/>
                    </a:ln>
                  </pic:spPr>
                </pic:pic>
              </a:graphicData>
            </a:graphic>
          </wp:inline>
        </w:drawing>
      </w:r>
    </w:p>
    <w:p w:rsidR="006F4B49" w:rsidRDefault="00601EEE">
      <w:pPr>
        <w:jc w:val="center"/>
        <w:rPr>
          <w:rFonts w:ascii="Arial" w:eastAsia="幼圆" w:hAnsi="Arial" w:cs="Arial"/>
          <w:b/>
          <w:sz w:val="32"/>
        </w:rPr>
      </w:pPr>
      <w:r>
        <w:rPr>
          <w:rFonts w:ascii="Arial" w:eastAsia="幼圆" w:hAnsi="Arial" w:cs="Arial"/>
          <w:b/>
          <w:noProof/>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148590</wp:posOffset>
                </wp:positionV>
                <wp:extent cx="4867275" cy="0"/>
                <wp:effectExtent l="0" t="19050" r="47625" b="38100"/>
                <wp:wrapNone/>
                <wp:docPr id="9" name="直接连接符 9"/>
                <wp:cNvGraphicFramePr/>
                <a:graphic xmlns:a="http://schemas.openxmlformats.org/drawingml/2006/main">
                  <a:graphicData uri="http://schemas.microsoft.com/office/word/2010/wordprocessingShape">
                    <wps:wsp>
                      <wps:cNvCnPr/>
                      <wps:spPr>
                        <a:xfrm flipV="1">
                          <a:off x="0" y="0"/>
                          <a:ext cx="4867275" cy="0"/>
                        </a:xfrm>
                        <a:prstGeom prst="line">
                          <a:avLst/>
                        </a:prstGeom>
                        <a:ln w="57150" cmpd="thickThin">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0.3pt;margin-top:11.7pt;height:0pt;width:383.25pt;z-index:251659264;mso-width-relative:page;mso-height-relative:page;" filled="f" stroked="t" coordsize="21600,21600" o:gfxdata="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KQu&#10;NtUAAAAHAQAADwAAAAAAAAABACAAAAAiAAAAZHJzL2Rvd25yZXYueG1sUEsBAhQAFAAAAAgAh07i&#10;QN7csGfsAQAAtQMAAA4AAAAAAAAAAQAgAAAAJAEAAGRycy9lMm9Eb2MueG1sUEsFBgAAAAAGAAYA&#10;WQEAAIIFAAAAAA==&#10;">
                <v:fill on="f" focussize="0,0"/>
                <v:stroke weight="4.5pt" color="#000000 [3213]" linestyle="thickThin" miterlimit="8" joinstyle="round"/>
                <v:imagedata o:title=""/>
                <o:lock v:ext="edit" aspectratio="f"/>
              </v:line>
            </w:pict>
          </mc:Fallback>
        </mc:AlternateContent>
      </w:r>
    </w:p>
    <w:p w:rsidR="006F4B49" w:rsidRDefault="006F4B49">
      <w:pPr>
        <w:jc w:val="center"/>
        <w:rPr>
          <w:rFonts w:ascii="Arial" w:eastAsia="幼圆" w:hAnsi="Arial" w:cs="Arial"/>
          <w:b/>
          <w:sz w:val="32"/>
        </w:rPr>
      </w:pPr>
    </w:p>
    <w:p w:rsidR="006F4B49" w:rsidRDefault="00601EEE">
      <w:pPr>
        <w:jc w:val="center"/>
        <w:outlineLvl w:val="0"/>
        <w:rPr>
          <w:rFonts w:ascii="Arial" w:eastAsia="幼圆" w:hAnsi="Arial" w:cs="Arial"/>
          <w:b/>
          <w:sz w:val="40"/>
        </w:rPr>
      </w:pPr>
      <w:r>
        <w:rPr>
          <w:rFonts w:ascii="Arial" w:eastAsia="幼圆" w:hAnsi="Arial" w:cs="Arial" w:hint="eastAsia"/>
          <w:b/>
          <w:sz w:val="40"/>
        </w:rPr>
        <w:t>电子远传阀控水表</w:t>
      </w:r>
      <w:r>
        <w:rPr>
          <w:rFonts w:ascii="Arial" w:eastAsia="幼圆" w:hAnsi="Arial" w:cs="Arial" w:hint="eastAsia"/>
          <w:b/>
          <w:sz w:val="40"/>
        </w:rPr>
        <w:t>(NB-</w:t>
      </w:r>
      <w:proofErr w:type="spellStart"/>
      <w:r>
        <w:rPr>
          <w:rFonts w:ascii="Arial" w:eastAsia="幼圆" w:hAnsi="Arial" w:cs="Arial" w:hint="eastAsia"/>
          <w:b/>
          <w:sz w:val="40"/>
        </w:rPr>
        <w:t>IoT</w:t>
      </w:r>
      <w:proofErr w:type="spellEnd"/>
      <w:r>
        <w:rPr>
          <w:rFonts w:ascii="Arial" w:eastAsia="幼圆" w:hAnsi="Arial" w:cs="Arial" w:hint="eastAsia"/>
          <w:b/>
          <w:sz w:val="40"/>
        </w:rPr>
        <w:t>)</w:t>
      </w:r>
      <w:r>
        <w:rPr>
          <w:rFonts w:ascii="Arial" w:eastAsia="幼圆" w:hAnsi="Arial" w:cs="Arial" w:hint="eastAsia"/>
          <w:b/>
          <w:sz w:val="40"/>
        </w:rPr>
        <w:t>磁阻</w:t>
      </w:r>
    </w:p>
    <w:p w:rsidR="006F4B49" w:rsidRDefault="006F4B49">
      <w:pPr>
        <w:jc w:val="center"/>
        <w:outlineLvl w:val="0"/>
        <w:rPr>
          <w:rFonts w:ascii="Arial" w:eastAsia="幼圆" w:hAnsi="Arial" w:cs="Arial"/>
          <w:b/>
          <w:sz w:val="32"/>
          <w:szCs w:val="32"/>
        </w:rPr>
      </w:pPr>
    </w:p>
    <w:p w:rsidR="006F4B49" w:rsidRDefault="00601EEE">
      <w:pPr>
        <w:jc w:val="center"/>
        <w:outlineLvl w:val="0"/>
        <w:rPr>
          <w:rFonts w:ascii="Arial" w:eastAsia="幼圆" w:hAnsi="Arial" w:cs="Arial"/>
          <w:b/>
          <w:sz w:val="32"/>
          <w:szCs w:val="32"/>
        </w:rPr>
      </w:pPr>
      <w:r>
        <w:rPr>
          <w:rFonts w:ascii="Arial" w:eastAsia="幼圆" w:hAnsi="Arial" w:cs="Arial" w:hint="eastAsia"/>
          <w:b/>
          <w:sz w:val="32"/>
          <w:szCs w:val="32"/>
        </w:rPr>
        <w:t xml:space="preserve">DN15-DN25 </w:t>
      </w:r>
    </w:p>
    <w:p w:rsidR="006F4B49" w:rsidRDefault="006F4B49">
      <w:pPr>
        <w:jc w:val="center"/>
        <w:rPr>
          <w:rFonts w:ascii="Arial" w:eastAsia="幼圆" w:hAnsi="Arial" w:cs="Arial"/>
          <w:b/>
          <w:sz w:val="36"/>
        </w:rPr>
      </w:pPr>
    </w:p>
    <w:p w:rsidR="006F4B49" w:rsidRDefault="00601EEE">
      <w:pPr>
        <w:jc w:val="center"/>
        <w:rPr>
          <w:rFonts w:ascii="Arial" w:eastAsia="幼圆" w:hAnsi="Arial" w:cs="Arial"/>
          <w:b/>
          <w:sz w:val="32"/>
        </w:rPr>
      </w:pPr>
      <w:r>
        <w:rPr>
          <w:rFonts w:ascii="Arial" w:eastAsia="幼圆" w:hAnsi="Arial" w:cs="Arial" w:hint="eastAsia"/>
          <w:b/>
          <w:sz w:val="40"/>
        </w:rPr>
        <w:t>安装使用说明书</w:t>
      </w:r>
    </w:p>
    <w:p w:rsidR="006F4B49" w:rsidRDefault="006F4B49">
      <w:pPr>
        <w:rPr>
          <w:rFonts w:ascii="Arial" w:eastAsia="幼圆" w:hAnsi="Arial" w:cs="Arial"/>
          <w:b/>
          <w:sz w:val="32"/>
        </w:rPr>
      </w:pPr>
    </w:p>
    <w:p w:rsidR="006F4B49" w:rsidRDefault="006F4B49">
      <w:pPr>
        <w:rPr>
          <w:rFonts w:ascii="Arial" w:eastAsia="幼圆" w:hAnsi="Arial" w:cs="Arial"/>
          <w:b/>
          <w:sz w:val="32"/>
        </w:rPr>
      </w:pPr>
    </w:p>
    <w:p w:rsidR="006F4B49" w:rsidRDefault="006F4B49">
      <w:pPr>
        <w:rPr>
          <w:rFonts w:ascii="Arial" w:eastAsia="幼圆" w:hAnsi="Arial" w:cs="Arial"/>
          <w:b/>
          <w:sz w:val="32"/>
        </w:rPr>
      </w:pPr>
    </w:p>
    <w:p w:rsidR="006F4B49" w:rsidRDefault="006F4B49">
      <w:pPr>
        <w:rPr>
          <w:rFonts w:ascii="Arial" w:eastAsia="幼圆" w:hAnsi="Arial" w:cs="Arial"/>
          <w:b/>
          <w:sz w:val="32"/>
        </w:rPr>
      </w:pPr>
    </w:p>
    <w:p w:rsidR="006F4B49" w:rsidRDefault="00601EEE">
      <w:pPr>
        <w:rPr>
          <w:rFonts w:ascii="Arial" w:eastAsia="幼圆" w:hAnsi="Arial" w:cs="Arial"/>
          <w:b/>
          <w:sz w:val="32"/>
        </w:rPr>
      </w:pPr>
      <w:r>
        <w:rPr>
          <w:rFonts w:ascii="Arial" w:eastAsia="幼圆" w:hAnsi="Arial" w:cs="Arial"/>
          <w:b/>
          <w:noProof/>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346710</wp:posOffset>
                </wp:positionV>
                <wp:extent cx="4867275" cy="0"/>
                <wp:effectExtent l="0" t="19050" r="47625" b="38100"/>
                <wp:wrapNone/>
                <wp:docPr id="10" name="直接连接符 10"/>
                <wp:cNvGraphicFramePr/>
                <a:graphic xmlns:a="http://schemas.openxmlformats.org/drawingml/2006/main">
                  <a:graphicData uri="http://schemas.microsoft.com/office/word/2010/wordprocessingShape">
                    <wps:wsp>
                      <wps:cNvCnPr/>
                      <wps:spPr>
                        <a:xfrm flipV="1">
                          <a:off x="0" y="0"/>
                          <a:ext cx="4867275" cy="0"/>
                        </a:xfrm>
                        <a:prstGeom prst="line">
                          <a:avLst/>
                        </a:prstGeom>
                        <a:ln w="57150" cmpd="thickThin">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0.3pt;margin-top:27.3pt;height:0pt;width:383.25pt;z-index:251660288;mso-width-relative:page;mso-height-relative:page;" filled="f" stroked="t" coordsize="21600,21600" o:gfxdata="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ucMZ&#10;1QAAAAcBAAAPAAAAAAAAAAEAIAAAACIAAABkcnMvZG93bnJldi54bWxQSwECFAAUAAAACACHTuJA&#10;l1lgNusBAAC3AwAADgAAAAAAAAABACAAAAAkAQAAZHJzL2Uyb0RvYy54bWxQSwUGAAAAAAYABgBZ&#10;AQAAgQUAAAAA&#10;">
                <v:fill on="f" focussize="0,0"/>
                <v:stroke weight="4.5pt" color="#000000 [3213]" linestyle="thickThin" miterlimit="8" joinstyle="round"/>
                <v:imagedata o:title=""/>
                <o:lock v:ext="edit" aspectratio="f"/>
              </v:line>
            </w:pict>
          </mc:Fallback>
        </mc:AlternateContent>
      </w:r>
    </w:p>
    <w:p w:rsidR="006F4B49" w:rsidRDefault="00601EEE">
      <w:pPr>
        <w:jc w:val="center"/>
        <w:outlineLvl w:val="0"/>
        <w:rPr>
          <w:rFonts w:ascii="黑体" w:eastAsia="黑体"/>
          <w:b/>
          <w:sz w:val="44"/>
          <w:szCs w:val="44"/>
        </w:rPr>
      </w:pPr>
      <w:bookmarkStart w:id="0" w:name="_Toc15019"/>
      <w:r>
        <w:rPr>
          <w:rFonts w:ascii="黑体" w:eastAsia="黑体" w:hint="eastAsia"/>
          <w:b/>
          <w:sz w:val="44"/>
          <w:szCs w:val="44"/>
        </w:rPr>
        <w:t>益都智能技术（北京）</w:t>
      </w:r>
      <w:r w:rsidR="004C4AA0">
        <w:rPr>
          <w:rFonts w:ascii="黑体" w:eastAsia="黑体" w:hint="eastAsia"/>
          <w:b/>
          <w:sz w:val="44"/>
          <w:szCs w:val="44"/>
        </w:rPr>
        <w:t>集团</w:t>
      </w:r>
      <w:r>
        <w:rPr>
          <w:rFonts w:ascii="黑体" w:eastAsia="黑体" w:hint="eastAsia"/>
          <w:b/>
          <w:sz w:val="44"/>
          <w:szCs w:val="44"/>
        </w:rPr>
        <w:t>有限公司</w:t>
      </w:r>
      <w:bookmarkEnd w:id="0"/>
    </w:p>
    <w:p w:rsidR="006F4B49" w:rsidRDefault="006F4B49">
      <w:pPr>
        <w:rPr>
          <w:rFonts w:ascii="Arial" w:eastAsia="幼圆" w:hAnsi="Arial" w:cs="Arial"/>
          <w:b/>
          <w:sz w:val="32"/>
        </w:rPr>
      </w:pPr>
    </w:p>
    <w:p w:rsidR="006F4B49" w:rsidRDefault="006F4B49">
      <w:pPr>
        <w:rPr>
          <w:rFonts w:ascii="Arial" w:eastAsia="幼圆" w:hAnsi="Arial" w:cs="Arial"/>
          <w:b/>
          <w:sz w:val="32"/>
        </w:rPr>
      </w:pP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lastRenderedPageBreak/>
        <w:t>概述</w:t>
      </w:r>
    </w:p>
    <w:p w:rsidR="006F4B49" w:rsidRDefault="00601EEE">
      <w:pPr>
        <w:ind w:firstLineChars="200" w:firstLine="360"/>
        <w:rPr>
          <w:rFonts w:ascii="Arial" w:eastAsia="幼圆" w:hAnsi="Arial" w:cs="Arial"/>
          <w:sz w:val="18"/>
          <w:szCs w:val="18"/>
        </w:rPr>
      </w:pPr>
      <w:proofErr w:type="gramStart"/>
      <w:r>
        <w:rPr>
          <w:rFonts w:ascii="Arial" w:eastAsia="幼圆" w:hAnsi="Arial" w:cs="Arial" w:hint="eastAsia"/>
          <w:sz w:val="18"/>
          <w:szCs w:val="18"/>
        </w:rPr>
        <w:t>现今物</w:t>
      </w:r>
      <w:proofErr w:type="gramEnd"/>
      <w:r>
        <w:rPr>
          <w:rFonts w:ascii="Arial" w:eastAsia="幼圆" w:hAnsi="Arial" w:cs="Arial" w:hint="eastAsia"/>
          <w:sz w:val="18"/>
          <w:szCs w:val="18"/>
        </w:rPr>
        <w:t>联网技术伴随着经济的高速增长已渗透到各个领域，物联网水表也成为了未来智能水表的发展方向。</w:t>
      </w:r>
      <w:r>
        <w:rPr>
          <w:rFonts w:ascii="Arial" w:eastAsia="幼圆" w:hAnsi="Arial" w:cs="Arial" w:hint="eastAsia"/>
          <w:sz w:val="18"/>
          <w:szCs w:val="18"/>
        </w:rPr>
        <w:t>ZSL-YC</w:t>
      </w:r>
      <w:r>
        <w:rPr>
          <w:rFonts w:ascii="Arial" w:eastAsia="幼圆" w:hAnsi="Arial" w:cs="Arial" w:hint="eastAsia"/>
          <w:sz w:val="18"/>
          <w:szCs w:val="18"/>
        </w:rPr>
        <w:t>型磁阻式电子远传阀控水表，是益都智能技术（北京）</w:t>
      </w:r>
      <w:r w:rsidR="00E83FA3">
        <w:rPr>
          <w:rFonts w:ascii="Arial" w:eastAsia="幼圆" w:hAnsi="Arial" w:cs="Arial" w:hint="eastAsia"/>
          <w:sz w:val="18"/>
          <w:szCs w:val="18"/>
        </w:rPr>
        <w:t>集团</w:t>
      </w:r>
      <w:r>
        <w:rPr>
          <w:rFonts w:ascii="Arial" w:eastAsia="幼圆" w:hAnsi="Arial" w:cs="Arial" w:hint="eastAsia"/>
          <w:sz w:val="18"/>
          <w:szCs w:val="18"/>
        </w:rPr>
        <w:t>有限公司根据市场需求全新研发的一款基于</w:t>
      </w:r>
      <w:r>
        <w:rPr>
          <w:rFonts w:ascii="Arial" w:eastAsia="幼圆" w:hAnsi="Arial" w:cs="Arial" w:hint="eastAsia"/>
          <w:sz w:val="18"/>
          <w:szCs w:val="18"/>
        </w:rPr>
        <w:t>NB-</w:t>
      </w:r>
      <w:proofErr w:type="spellStart"/>
      <w:r>
        <w:rPr>
          <w:rFonts w:ascii="Arial" w:eastAsia="幼圆" w:hAnsi="Arial" w:cs="Arial" w:hint="eastAsia"/>
          <w:sz w:val="18"/>
          <w:szCs w:val="18"/>
        </w:rPr>
        <w:t>IoT</w:t>
      </w:r>
      <w:proofErr w:type="spellEnd"/>
      <w:r>
        <w:rPr>
          <w:rFonts w:ascii="Arial" w:eastAsia="幼圆" w:hAnsi="Arial" w:cs="Arial" w:hint="eastAsia"/>
          <w:sz w:val="18"/>
          <w:szCs w:val="18"/>
        </w:rPr>
        <w:t>窄带蜂窝技术的智能仪表，不同于传统的远传抄表系统，企业无需自行组网，水表直接接入公网，每个水表都作为一个终端独立工作，安装维护简单，工作运行可靠，能有效解决城市供水抄表难题。</w:t>
      </w: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t>工作原理</w:t>
      </w:r>
    </w:p>
    <w:p w:rsidR="006F4B49" w:rsidRDefault="00601EEE">
      <w:pPr>
        <w:ind w:firstLineChars="200" w:firstLine="360"/>
        <w:rPr>
          <w:rFonts w:ascii="Arial" w:eastAsia="幼圆" w:hAnsi="Arial" w:cs="Arial"/>
        </w:rPr>
      </w:pPr>
      <w:r>
        <w:rPr>
          <w:rFonts w:ascii="Arial" w:eastAsia="幼圆" w:hAnsi="Arial" w:cs="Arial" w:hint="eastAsia"/>
          <w:sz w:val="18"/>
          <w:szCs w:val="18"/>
        </w:rPr>
        <w:t>水流入水表后，沿叶轮盒底部进水孔进入计量机构，推动叶轮旋转，并由叶轮盒上部出水孔流出，叶轮转速与水的流量成正比，叶轮转动经减速齿轮传递给指示机构记录出流经水表的使用水总量，因而它也仅适用于单向流动的清洁水。记录的用水量数据通过</w:t>
      </w:r>
      <w:r>
        <w:rPr>
          <w:rFonts w:ascii="Arial" w:eastAsia="幼圆" w:hAnsi="Arial" w:cs="Arial" w:hint="eastAsia"/>
          <w:sz w:val="18"/>
          <w:szCs w:val="18"/>
        </w:rPr>
        <w:t>NB-</w:t>
      </w:r>
      <w:proofErr w:type="spellStart"/>
      <w:r>
        <w:rPr>
          <w:rFonts w:ascii="Arial" w:eastAsia="幼圆" w:hAnsi="Arial" w:cs="Arial" w:hint="eastAsia"/>
          <w:sz w:val="18"/>
          <w:szCs w:val="18"/>
        </w:rPr>
        <w:t>IoT</w:t>
      </w:r>
      <w:proofErr w:type="spellEnd"/>
      <w:r>
        <w:rPr>
          <w:rFonts w:ascii="Arial" w:eastAsia="幼圆" w:hAnsi="Arial" w:cs="Arial" w:hint="eastAsia"/>
          <w:sz w:val="18"/>
          <w:szCs w:val="18"/>
        </w:rPr>
        <w:t>无线网络接入技术可以与管理中心通信，进行无线抄表、网络充值、故障检测等功能。</w:t>
      </w: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t>产品特点</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NB-</w:t>
      </w:r>
      <w:proofErr w:type="spellStart"/>
      <w:r>
        <w:rPr>
          <w:rFonts w:ascii="Arial" w:eastAsia="幼圆" w:hAnsi="Arial" w:cs="Arial" w:hint="eastAsia"/>
          <w:sz w:val="18"/>
          <w:szCs w:val="18"/>
        </w:rPr>
        <w:t>IoT</w:t>
      </w:r>
      <w:proofErr w:type="spellEnd"/>
      <w:r>
        <w:rPr>
          <w:rFonts w:ascii="Arial" w:eastAsia="幼圆" w:hAnsi="Arial" w:cs="Arial" w:hint="eastAsia"/>
          <w:sz w:val="18"/>
          <w:szCs w:val="18"/>
        </w:rPr>
        <w:t>（</w:t>
      </w:r>
      <w:r>
        <w:rPr>
          <w:rFonts w:ascii="Arial" w:eastAsia="幼圆" w:hAnsi="Arial" w:cs="Arial" w:hint="eastAsia"/>
          <w:sz w:val="18"/>
          <w:szCs w:val="18"/>
        </w:rPr>
        <w:t>Narrow Band Internet of Things</w:t>
      </w:r>
      <w:r>
        <w:rPr>
          <w:rFonts w:ascii="Arial" w:eastAsia="幼圆" w:hAnsi="Arial" w:cs="Arial" w:hint="eastAsia"/>
          <w:sz w:val="18"/>
          <w:szCs w:val="18"/>
        </w:rPr>
        <w:t>），即基于移动蜂窝网络的</w:t>
      </w:r>
      <w:proofErr w:type="gramStart"/>
      <w:r>
        <w:rPr>
          <w:rFonts w:ascii="Arial" w:eastAsia="幼圆" w:hAnsi="Arial" w:cs="Arial" w:hint="eastAsia"/>
          <w:sz w:val="18"/>
          <w:szCs w:val="18"/>
        </w:rPr>
        <w:t>窄带物</w:t>
      </w:r>
      <w:proofErr w:type="gramEnd"/>
      <w:r>
        <w:rPr>
          <w:rFonts w:ascii="Arial" w:eastAsia="幼圆" w:hAnsi="Arial" w:cs="Arial" w:hint="eastAsia"/>
          <w:sz w:val="18"/>
          <w:szCs w:val="18"/>
        </w:rPr>
        <w:t>联网，作为远距离无线通讯技术中的佼佼者，</w:t>
      </w:r>
      <w:r>
        <w:rPr>
          <w:rFonts w:ascii="Arial" w:eastAsia="幼圆" w:hAnsi="Arial" w:cs="Arial" w:hint="eastAsia"/>
          <w:sz w:val="18"/>
          <w:szCs w:val="18"/>
        </w:rPr>
        <w:t>NB-</w:t>
      </w:r>
      <w:proofErr w:type="spellStart"/>
      <w:r>
        <w:rPr>
          <w:rFonts w:ascii="Arial" w:eastAsia="幼圆" w:hAnsi="Arial" w:cs="Arial" w:hint="eastAsia"/>
          <w:sz w:val="18"/>
          <w:szCs w:val="18"/>
        </w:rPr>
        <w:t>IoT</w:t>
      </w:r>
      <w:proofErr w:type="spellEnd"/>
      <w:r>
        <w:rPr>
          <w:rFonts w:ascii="Arial" w:eastAsia="幼圆" w:hAnsi="Arial" w:cs="Arial" w:hint="eastAsia"/>
          <w:sz w:val="18"/>
          <w:szCs w:val="18"/>
        </w:rPr>
        <w:t xml:space="preserve"> </w:t>
      </w:r>
      <w:r>
        <w:rPr>
          <w:rFonts w:ascii="Arial" w:eastAsia="幼圆" w:hAnsi="Arial" w:cs="Arial" w:hint="eastAsia"/>
          <w:sz w:val="18"/>
          <w:szCs w:val="18"/>
        </w:rPr>
        <w:t>具备高安全、广覆盖、低功耗、大连接和低成本五大亮点，有效保证数据传输稳定，传输距离不受限制</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部件采用优质材料及防腐蚀处理，具有计量准确、经久耐用、维修方便等优点</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机电分离式结构，在电子部分故障后可以单独维护或更换，不影响基表的计量</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以双信号源、查脉冲方式采集读数，确保水表有效信号计费准确无误</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红外通讯：外界可通过红外接口与水表近端通讯</w:t>
      </w:r>
      <w:r>
        <w:rPr>
          <w:rFonts w:ascii="Arial" w:eastAsia="幼圆" w:hAnsi="Arial" w:cs="Arial" w:hint="eastAsia"/>
          <w:sz w:val="18"/>
          <w:szCs w:val="18"/>
        </w:rPr>
        <w:t xml:space="preserve"> </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数据定时上传：到达设定的时间，自动上传数据</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双向通讯：与软件平台双向通讯</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LED</w:t>
      </w:r>
      <w:r>
        <w:rPr>
          <w:rFonts w:ascii="Arial" w:eastAsia="幼圆" w:hAnsi="Arial" w:cs="Arial" w:hint="eastAsia"/>
          <w:sz w:val="18"/>
          <w:szCs w:val="18"/>
        </w:rPr>
        <w:t>指示灯：具有工作状态和无线状态指示灯，水表状态一目了然</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表端触发上线：在表端通过磁控或触摸方式可让水表上线并上传数据</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阀控功能：阀控水表端带有阀门，可实现远程控阀</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具有阀门防锈死自转功能设计</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内部使用高功率电池，使用寿命长</w:t>
      </w:r>
    </w:p>
    <w:p w:rsidR="006F4B49" w:rsidRDefault="00601EEE">
      <w:pPr>
        <w:pStyle w:val="aa"/>
        <w:numPr>
          <w:ilvl w:val="0"/>
          <w:numId w:val="2"/>
        </w:numPr>
        <w:ind w:firstLineChars="0"/>
        <w:rPr>
          <w:rFonts w:ascii="Arial" w:eastAsia="幼圆" w:hAnsi="Arial" w:cs="Arial"/>
          <w:sz w:val="18"/>
          <w:szCs w:val="18"/>
        </w:rPr>
      </w:pPr>
      <w:r>
        <w:rPr>
          <w:rFonts w:ascii="Arial" w:eastAsia="幼圆" w:hAnsi="Arial" w:cs="Arial" w:hint="eastAsia"/>
          <w:sz w:val="18"/>
          <w:szCs w:val="18"/>
        </w:rPr>
        <w:t>结构紧密，防护等级高</w:t>
      </w: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t>技术参数</w:t>
      </w:r>
    </w:p>
    <w:p w:rsidR="006F4B49" w:rsidRDefault="00601EEE">
      <w:pPr>
        <w:pStyle w:val="aa"/>
        <w:numPr>
          <w:ilvl w:val="0"/>
          <w:numId w:val="3"/>
        </w:numPr>
        <w:spacing w:line="300" w:lineRule="exact"/>
        <w:ind w:firstLineChars="0"/>
        <w:outlineLvl w:val="0"/>
        <w:rPr>
          <w:rFonts w:ascii="Arial" w:eastAsia="幼圆" w:hAnsi="Arial" w:cs="Arial"/>
          <w:sz w:val="18"/>
          <w:szCs w:val="18"/>
        </w:rPr>
      </w:pPr>
      <w:r>
        <w:rPr>
          <w:rFonts w:ascii="Arial" w:eastAsia="幼圆" w:hAnsi="Arial" w:cs="Arial"/>
          <w:sz w:val="18"/>
          <w:szCs w:val="18"/>
        </w:rPr>
        <w:t>该水表的各项技术指标均符合国家标准</w:t>
      </w:r>
      <w:r>
        <w:rPr>
          <w:rFonts w:ascii="Arial" w:eastAsia="幼圆" w:hAnsi="Arial" w:cs="Arial"/>
          <w:sz w:val="18"/>
          <w:szCs w:val="18"/>
        </w:rPr>
        <w:t>GB/T 778—20</w:t>
      </w:r>
      <w:r w:rsidR="00E83FA3">
        <w:rPr>
          <w:rFonts w:ascii="Arial" w:eastAsia="幼圆" w:hAnsi="Arial" w:cs="Arial" w:hint="eastAsia"/>
          <w:sz w:val="18"/>
          <w:szCs w:val="18"/>
        </w:rPr>
        <w:t>18</w:t>
      </w:r>
      <w:r>
        <w:rPr>
          <w:rFonts w:ascii="Arial" w:eastAsia="幼圆" w:hAnsi="Arial" w:cs="Arial"/>
          <w:sz w:val="18"/>
          <w:szCs w:val="18"/>
        </w:rPr>
        <w:t>《封闭满管道中水流量的测量</w:t>
      </w:r>
      <w:r>
        <w:rPr>
          <w:rFonts w:ascii="Arial" w:eastAsia="幼圆" w:hAnsi="Arial" w:cs="Arial"/>
          <w:sz w:val="18"/>
          <w:szCs w:val="18"/>
        </w:rPr>
        <w:t xml:space="preserve">  </w:t>
      </w:r>
      <w:r>
        <w:rPr>
          <w:rFonts w:ascii="Arial" w:eastAsia="幼圆" w:hAnsi="Arial" w:cs="Arial"/>
          <w:sz w:val="18"/>
          <w:szCs w:val="18"/>
        </w:rPr>
        <w:t>饮用冷水水表和热水水表》，</w:t>
      </w:r>
      <w:r>
        <w:rPr>
          <w:rFonts w:ascii="Arial" w:eastAsia="幼圆" w:hAnsi="Arial" w:cs="Arial"/>
          <w:sz w:val="18"/>
          <w:szCs w:val="18"/>
        </w:rPr>
        <w:t>CJ/T224-2012</w:t>
      </w:r>
      <w:r>
        <w:rPr>
          <w:rFonts w:ascii="Arial" w:eastAsia="幼圆" w:hAnsi="Arial" w:cs="Arial"/>
          <w:sz w:val="18"/>
          <w:szCs w:val="18"/>
        </w:rPr>
        <w:t>《电子远传水表》的规定</w:t>
      </w:r>
    </w:p>
    <w:p w:rsidR="006F4B49" w:rsidRDefault="00601EEE">
      <w:pPr>
        <w:pStyle w:val="aa"/>
        <w:numPr>
          <w:ilvl w:val="0"/>
          <w:numId w:val="3"/>
        </w:numPr>
        <w:spacing w:line="300" w:lineRule="exact"/>
        <w:ind w:firstLineChars="0"/>
        <w:outlineLvl w:val="1"/>
        <w:rPr>
          <w:rFonts w:ascii="Arial" w:eastAsia="幼圆" w:hAnsi="Arial" w:cs="Arial"/>
        </w:rPr>
      </w:pPr>
      <w:r>
        <w:rPr>
          <w:rFonts w:ascii="Arial" w:eastAsia="幼圆" w:hAnsi="Arial" w:cs="Arial"/>
          <w:sz w:val="18"/>
          <w:szCs w:val="18"/>
        </w:rPr>
        <w:t>水表的安全性能符合</w:t>
      </w:r>
      <w:r>
        <w:rPr>
          <w:rFonts w:ascii="Arial" w:eastAsia="幼圆" w:hAnsi="Arial" w:cs="Arial"/>
          <w:sz w:val="18"/>
          <w:szCs w:val="18"/>
        </w:rPr>
        <w:t>CJ 266—2008</w:t>
      </w:r>
      <w:r>
        <w:rPr>
          <w:rFonts w:ascii="Arial" w:eastAsia="幼圆" w:hAnsi="Arial" w:cs="Arial"/>
          <w:sz w:val="18"/>
          <w:szCs w:val="18"/>
        </w:rPr>
        <w:t>《饮用水冷水水表安全规则》的规定</w:t>
      </w:r>
    </w:p>
    <w:tbl>
      <w:tblPr>
        <w:tblStyle w:val="a7"/>
        <w:tblW w:w="7062" w:type="dxa"/>
        <w:tblInd w:w="135" w:type="dxa"/>
        <w:tblLayout w:type="fixed"/>
        <w:tblLook w:val="04A0" w:firstRow="1" w:lastRow="0" w:firstColumn="1" w:lastColumn="0" w:noHBand="0" w:noVBand="1"/>
      </w:tblPr>
      <w:tblGrid>
        <w:gridCol w:w="1413"/>
        <w:gridCol w:w="2977"/>
        <w:gridCol w:w="2672"/>
      </w:tblGrid>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通讯方式</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NB-</w:t>
            </w:r>
            <w:proofErr w:type="spellStart"/>
            <w:r>
              <w:rPr>
                <w:rFonts w:ascii="宋体" w:eastAsia="宋体" w:hAnsi="宋体" w:cs="宋体" w:hint="eastAsia"/>
                <w:sz w:val="20"/>
                <w:szCs w:val="20"/>
              </w:rPr>
              <w:t>IoT</w:t>
            </w:r>
            <w:proofErr w:type="spellEnd"/>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工作频段</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850MHz</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lastRenderedPageBreak/>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发射功率</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23dBm±2dB</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灵敏度</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-129dBm±1dB</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最高工作压力</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 xml:space="preserve">1.0 </w:t>
            </w:r>
            <w:proofErr w:type="spellStart"/>
            <w:r>
              <w:rPr>
                <w:rFonts w:ascii="宋体" w:eastAsia="宋体" w:hAnsi="宋体" w:cs="宋体" w:hint="eastAsia"/>
                <w:sz w:val="20"/>
                <w:szCs w:val="20"/>
                <w:lang w:bidi="ar"/>
              </w:rPr>
              <w:t>MPa</w:t>
            </w:r>
            <w:proofErr w:type="spellEnd"/>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最大压力损失</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 xml:space="preserve">ΔP ≤ 0.063 </w:t>
            </w:r>
            <w:proofErr w:type="spellStart"/>
            <w:r>
              <w:rPr>
                <w:rFonts w:ascii="宋体" w:eastAsia="宋体" w:hAnsi="宋体" w:cs="宋体" w:hint="eastAsia"/>
                <w:sz w:val="20"/>
                <w:szCs w:val="20"/>
                <w:lang w:bidi="ar"/>
              </w:rPr>
              <w:t>Mpa</w:t>
            </w:r>
            <w:proofErr w:type="spellEnd"/>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准确度等级</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2级</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静态工作电流</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≤5μA</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阀门开/关时间</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≤8s</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电池类型</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3.6V功率型锂电池</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电池工作时间</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≥6年</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阀门耐用性</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rPr>
              <w:t>≥10000次</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温度等级</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T30</w:t>
            </w:r>
          </w:p>
        </w:tc>
      </w:tr>
      <w:tr w:rsidR="006F4B49">
        <w:tc>
          <w:tcPr>
            <w:tcW w:w="1413"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防护等级</w:t>
            </w: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6F4B49" w:rsidRDefault="00601EEE">
            <w:pPr>
              <w:spacing w:line="240" w:lineRule="atLeast"/>
              <w:jc w:val="center"/>
              <w:rPr>
                <w:rFonts w:ascii="宋体" w:eastAsia="宋体" w:hAnsi="宋体" w:cs="宋体"/>
                <w:sz w:val="20"/>
                <w:szCs w:val="20"/>
              </w:rPr>
            </w:pPr>
            <w:r>
              <w:rPr>
                <w:rFonts w:ascii="宋体" w:eastAsia="宋体" w:hAnsi="宋体" w:cs="宋体" w:hint="eastAsia"/>
                <w:sz w:val="20"/>
                <w:szCs w:val="20"/>
                <w:lang w:bidi="ar"/>
              </w:rPr>
              <w:t>可达IP68</w:t>
            </w:r>
          </w:p>
        </w:tc>
      </w:tr>
    </w:tbl>
    <w:p w:rsidR="006F4B49" w:rsidRDefault="006F4B49">
      <w:pPr>
        <w:pStyle w:val="aa"/>
        <w:ind w:left="420" w:firstLineChars="0" w:firstLine="0"/>
        <w:rPr>
          <w:rFonts w:ascii="Arial" w:eastAsia="幼圆" w:hAnsi="Arial" w:cs="Arial"/>
        </w:rPr>
      </w:pP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t>规格尺寸</w:t>
      </w:r>
    </w:p>
    <w:p w:rsidR="006F4B49" w:rsidRDefault="006F4B49">
      <w:pPr>
        <w:jc w:val="center"/>
        <w:rPr>
          <w:rFonts w:ascii="宋体" w:hAnsi="宋体" w:cs="宋体"/>
          <w:color w:val="666464"/>
          <w:sz w:val="18"/>
          <w:szCs w:val="18"/>
          <w:shd w:val="clear" w:color="auto" w:fill="FFFFFF"/>
        </w:rPr>
      </w:pP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920"/>
        <w:gridCol w:w="920"/>
        <w:gridCol w:w="921"/>
        <w:gridCol w:w="992"/>
        <w:gridCol w:w="992"/>
      </w:tblGrid>
      <w:tr w:rsidR="006F4B49">
        <w:trPr>
          <w:jc w:val="center"/>
        </w:trPr>
        <w:tc>
          <w:tcPr>
            <w:tcW w:w="920" w:type="dxa"/>
            <w:vAlign w:val="center"/>
          </w:tcPr>
          <w:p w:rsidR="006F4B49" w:rsidRDefault="00601EEE">
            <w:pPr>
              <w:jc w:val="center"/>
              <w:rPr>
                <w:b/>
                <w:sz w:val="18"/>
                <w:szCs w:val="18"/>
              </w:rPr>
            </w:pPr>
            <w:r>
              <w:rPr>
                <w:rFonts w:hint="eastAsia"/>
                <w:b/>
                <w:sz w:val="18"/>
                <w:szCs w:val="18"/>
              </w:rPr>
              <w:t>规格</w:t>
            </w:r>
          </w:p>
          <w:p w:rsidR="006F4B49" w:rsidRDefault="00601EEE">
            <w:pPr>
              <w:jc w:val="center"/>
              <w:rPr>
                <w:b/>
                <w:sz w:val="18"/>
                <w:szCs w:val="18"/>
              </w:rPr>
            </w:pPr>
            <w:r>
              <w:rPr>
                <w:rFonts w:hint="eastAsia"/>
                <w:b/>
                <w:sz w:val="18"/>
                <w:szCs w:val="18"/>
              </w:rPr>
              <w:t>（</w:t>
            </w:r>
            <w:r>
              <w:rPr>
                <w:rFonts w:hint="eastAsia"/>
                <w:b/>
                <w:sz w:val="18"/>
                <w:szCs w:val="18"/>
              </w:rPr>
              <w:t>mm</w:t>
            </w:r>
            <w:r>
              <w:rPr>
                <w:rFonts w:hint="eastAsia"/>
                <w:b/>
                <w:sz w:val="18"/>
                <w:szCs w:val="18"/>
              </w:rPr>
              <w:t>）</w:t>
            </w:r>
          </w:p>
        </w:tc>
        <w:tc>
          <w:tcPr>
            <w:tcW w:w="920" w:type="dxa"/>
            <w:vAlign w:val="center"/>
          </w:tcPr>
          <w:p w:rsidR="006F4B49" w:rsidRDefault="00601EEE">
            <w:pPr>
              <w:jc w:val="center"/>
              <w:rPr>
                <w:b/>
                <w:sz w:val="18"/>
                <w:szCs w:val="18"/>
              </w:rPr>
            </w:pPr>
            <w:r>
              <w:rPr>
                <w:rFonts w:hint="eastAsia"/>
                <w:b/>
                <w:sz w:val="18"/>
                <w:szCs w:val="18"/>
              </w:rPr>
              <w:t>长</w:t>
            </w:r>
            <w:r>
              <w:rPr>
                <w:rFonts w:hint="eastAsia"/>
                <w:b/>
                <w:sz w:val="18"/>
                <w:szCs w:val="18"/>
              </w:rPr>
              <w:t>L</w:t>
            </w:r>
            <w:r>
              <w:rPr>
                <w:rFonts w:hint="eastAsia"/>
                <w:b/>
                <w:sz w:val="18"/>
                <w:szCs w:val="18"/>
              </w:rPr>
              <w:t>（</w:t>
            </w:r>
            <w:r>
              <w:rPr>
                <w:rFonts w:hint="eastAsia"/>
                <w:b/>
                <w:sz w:val="18"/>
                <w:szCs w:val="18"/>
              </w:rPr>
              <w:t>mm</w:t>
            </w:r>
            <w:r>
              <w:rPr>
                <w:rFonts w:hint="eastAsia"/>
                <w:b/>
                <w:sz w:val="18"/>
                <w:szCs w:val="18"/>
              </w:rPr>
              <w:t>）</w:t>
            </w:r>
          </w:p>
        </w:tc>
        <w:tc>
          <w:tcPr>
            <w:tcW w:w="920" w:type="dxa"/>
            <w:vAlign w:val="center"/>
          </w:tcPr>
          <w:p w:rsidR="006F4B49" w:rsidRDefault="00601EEE">
            <w:pPr>
              <w:jc w:val="center"/>
              <w:rPr>
                <w:b/>
                <w:sz w:val="18"/>
                <w:szCs w:val="18"/>
              </w:rPr>
            </w:pPr>
            <w:r>
              <w:rPr>
                <w:rFonts w:hint="eastAsia"/>
                <w:b/>
                <w:sz w:val="18"/>
                <w:szCs w:val="18"/>
              </w:rPr>
              <w:t>宽</w:t>
            </w:r>
            <w:r>
              <w:rPr>
                <w:rFonts w:hint="eastAsia"/>
                <w:b/>
                <w:sz w:val="18"/>
                <w:szCs w:val="18"/>
              </w:rPr>
              <w:t>W (mm)</w:t>
            </w:r>
          </w:p>
        </w:tc>
        <w:tc>
          <w:tcPr>
            <w:tcW w:w="921" w:type="dxa"/>
            <w:vAlign w:val="center"/>
          </w:tcPr>
          <w:p w:rsidR="006F4B49" w:rsidRDefault="00601EEE">
            <w:pPr>
              <w:jc w:val="center"/>
              <w:rPr>
                <w:b/>
                <w:sz w:val="18"/>
                <w:szCs w:val="18"/>
              </w:rPr>
            </w:pPr>
            <w:r>
              <w:rPr>
                <w:rFonts w:hint="eastAsia"/>
                <w:b/>
                <w:sz w:val="18"/>
                <w:szCs w:val="18"/>
              </w:rPr>
              <w:t>高</w:t>
            </w:r>
            <w:r>
              <w:rPr>
                <w:rFonts w:hint="eastAsia"/>
                <w:b/>
                <w:sz w:val="18"/>
                <w:szCs w:val="18"/>
              </w:rPr>
              <w:t>H</w:t>
            </w:r>
            <w:r>
              <w:rPr>
                <w:rFonts w:hint="eastAsia"/>
                <w:b/>
                <w:sz w:val="18"/>
                <w:szCs w:val="18"/>
              </w:rPr>
              <w:t>（</w:t>
            </w:r>
            <w:r>
              <w:rPr>
                <w:rFonts w:hint="eastAsia"/>
                <w:b/>
                <w:sz w:val="18"/>
                <w:szCs w:val="18"/>
              </w:rPr>
              <w:t>mm</w:t>
            </w:r>
            <w:r>
              <w:rPr>
                <w:rFonts w:hint="eastAsia"/>
                <w:b/>
                <w:sz w:val="18"/>
                <w:szCs w:val="18"/>
              </w:rPr>
              <w:t>）</w:t>
            </w:r>
          </w:p>
        </w:tc>
        <w:tc>
          <w:tcPr>
            <w:tcW w:w="992" w:type="dxa"/>
            <w:vAlign w:val="center"/>
          </w:tcPr>
          <w:p w:rsidR="006F4B49" w:rsidRDefault="00601EEE">
            <w:pPr>
              <w:jc w:val="center"/>
              <w:rPr>
                <w:b/>
                <w:sz w:val="18"/>
                <w:szCs w:val="18"/>
              </w:rPr>
            </w:pPr>
            <w:r>
              <w:rPr>
                <w:rFonts w:hint="eastAsia"/>
                <w:b/>
                <w:sz w:val="18"/>
                <w:szCs w:val="18"/>
              </w:rPr>
              <w:t>Q3</w:t>
            </w:r>
          </w:p>
          <w:p w:rsidR="006F4B49" w:rsidRDefault="00601EEE">
            <w:pPr>
              <w:jc w:val="center"/>
              <w:rPr>
                <w:b/>
                <w:sz w:val="18"/>
                <w:szCs w:val="18"/>
              </w:rPr>
            </w:pPr>
            <w:r>
              <w:rPr>
                <w:rFonts w:hint="eastAsia"/>
                <w:b/>
                <w:sz w:val="18"/>
                <w:szCs w:val="18"/>
              </w:rPr>
              <w:t>(m</w:t>
            </w:r>
            <w:r>
              <w:rPr>
                <w:rFonts w:hint="eastAsia"/>
                <w:b/>
                <w:sz w:val="18"/>
                <w:szCs w:val="18"/>
              </w:rPr>
              <w:t>³</w:t>
            </w:r>
            <w:r>
              <w:rPr>
                <w:rFonts w:hint="eastAsia"/>
                <w:b/>
                <w:sz w:val="18"/>
                <w:szCs w:val="18"/>
              </w:rPr>
              <w:t>/h)</w:t>
            </w:r>
          </w:p>
        </w:tc>
        <w:tc>
          <w:tcPr>
            <w:tcW w:w="992" w:type="dxa"/>
            <w:vAlign w:val="center"/>
          </w:tcPr>
          <w:p w:rsidR="006F4B49" w:rsidRDefault="00601EEE">
            <w:pPr>
              <w:jc w:val="center"/>
              <w:rPr>
                <w:b/>
                <w:sz w:val="18"/>
                <w:szCs w:val="18"/>
              </w:rPr>
            </w:pPr>
            <w:r>
              <w:rPr>
                <w:rFonts w:hint="eastAsia"/>
                <w:b/>
                <w:sz w:val="18"/>
                <w:szCs w:val="18"/>
              </w:rPr>
              <w:t>量程比</w:t>
            </w:r>
            <w:r>
              <w:rPr>
                <w:rFonts w:hint="eastAsia"/>
                <w:b/>
                <w:sz w:val="18"/>
                <w:szCs w:val="18"/>
              </w:rPr>
              <w:t>R</w:t>
            </w:r>
          </w:p>
        </w:tc>
      </w:tr>
      <w:tr w:rsidR="006F4B49">
        <w:trPr>
          <w:jc w:val="center"/>
        </w:trPr>
        <w:tc>
          <w:tcPr>
            <w:tcW w:w="920" w:type="dxa"/>
            <w:vAlign w:val="center"/>
          </w:tcPr>
          <w:p w:rsidR="006F4B49" w:rsidRDefault="00601EEE">
            <w:pPr>
              <w:jc w:val="center"/>
              <w:rPr>
                <w:b/>
                <w:sz w:val="18"/>
                <w:szCs w:val="18"/>
              </w:rPr>
            </w:pPr>
            <w:r>
              <w:rPr>
                <w:rFonts w:hint="eastAsia"/>
                <w:b/>
                <w:sz w:val="18"/>
                <w:szCs w:val="18"/>
              </w:rPr>
              <w:t>15</w:t>
            </w:r>
          </w:p>
        </w:tc>
        <w:tc>
          <w:tcPr>
            <w:tcW w:w="920" w:type="dxa"/>
            <w:vAlign w:val="center"/>
          </w:tcPr>
          <w:p w:rsidR="006F4B49" w:rsidRDefault="00601EEE">
            <w:pPr>
              <w:jc w:val="center"/>
              <w:rPr>
                <w:b/>
                <w:sz w:val="18"/>
                <w:szCs w:val="18"/>
              </w:rPr>
            </w:pPr>
            <w:r>
              <w:rPr>
                <w:rFonts w:hint="eastAsia"/>
                <w:b/>
                <w:sz w:val="18"/>
                <w:szCs w:val="18"/>
              </w:rPr>
              <w:t>165</w:t>
            </w:r>
          </w:p>
        </w:tc>
        <w:tc>
          <w:tcPr>
            <w:tcW w:w="920" w:type="dxa"/>
            <w:vAlign w:val="center"/>
          </w:tcPr>
          <w:p w:rsidR="006F4B49" w:rsidRDefault="00601EEE">
            <w:pPr>
              <w:jc w:val="center"/>
              <w:rPr>
                <w:b/>
                <w:sz w:val="18"/>
                <w:szCs w:val="18"/>
              </w:rPr>
            </w:pPr>
            <w:r>
              <w:rPr>
                <w:rFonts w:hint="eastAsia"/>
                <w:b/>
                <w:sz w:val="18"/>
                <w:szCs w:val="18"/>
              </w:rPr>
              <w:t>96+18</w:t>
            </w:r>
          </w:p>
        </w:tc>
        <w:tc>
          <w:tcPr>
            <w:tcW w:w="921" w:type="dxa"/>
            <w:vAlign w:val="center"/>
          </w:tcPr>
          <w:p w:rsidR="006F4B49" w:rsidRDefault="00601EEE">
            <w:pPr>
              <w:jc w:val="center"/>
              <w:rPr>
                <w:b/>
                <w:sz w:val="18"/>
                <w:szCs w:val="18"/>
              </w:rPr>
            </w:pPr>
            <w:r>
              <w:rPr>
                <w:rFonts w:hint="eastAsia"/>
                <w:b/>
                <w:sz w:val="18"/>
                <w:szCs w:val="18"/>
              </w:rPr>
              <w:t>133</w:t>
            </w:r>
          </w:p>
        </w:tc>
        <w:tc>
          <w:tcPr>
            <w:tcW w:w="992" w:type="dxa"/>
            <w:vAlign w:val="center"/>
          </w:tcPr>
          <w:p w:rsidR="006F4B49" w:rsidRDefault="00601EEE">
            <w:pPr>
              <w:jc w:val="center"/>
              <w:rPr>
                <w:b/>
                <w:sz w:val="18"/>
                <w:szCs w:val="18"/>
              </w:rPr>
            </w:pPr>
            <w:r>
              <w:rPr>
                <w:rFonts w:hint="eastAsia"/>
                <w:b/>
                <w:sz w:val="18"/>
                <w:szCs w:val="18"/>
              </w:rPr>
              <w:t>2.5</w:t>
            </w:r>
          </w:p>
        </w:tc>
        <w:tc>
          <w:tcPr>
            <w:tcW w:w="992" w:type="dxa"/>
            <w:vAlign w:val="center"/>
          </w:tcPr>
          <w:p w:rsidR="006F4B49" w:rsidRDefault="00601EEE">
            <w:pPr>
              <w:jc w:val="center"/>
              <w:rPr>
                <w:b/>
                <w:sz w:val="18"/>
                <w:szCs w:val="18"/>
              </w:rPr>
            </w:pPr>
            <w:r>
              <w:rPr>
                <w:rFonts w:ascii="Times New Roman" w:hAnsi="Times New Roman" w:cs="Times New Roman" w:hint="eastAsia"/>
                <w:b/>
                <w:sz w:val="18"/>
                <w:szCs w:val="18"/>
              </w:rPr>
              <w:t>100</w:t>
            </w:r>
          </w:p>
        </w:tc>
      </w:tr>
      <w:tr w:rsidR="006F4B49">
        <w:trPr>
          <w:jc w:val="center"/>
        </w:trPr>
        <w:tc>
          <w:tcPr>
            <w:tcW w:w="920" w:type="dxa"/>
            <w:vAlign w:val="center"/>
          </w:tcPr>
          <w:p w:rsidR="006F4B49" w:rsidRDefault="00601EEE">
            <w:pPr>
              <w:jc w:val="center"/>
              <w:rPr>
                <w:b/>
                <w:sz w:val="18"/>
                <w:szCs w:val="18"/>
              </w:rPr>
            </w:pPr>
            <w:r>
              <w:rPr>
                <w:rFonts w:hint="eastAsia"/>
                <w:b/>
                <w:sz w:val="18"/>
                <w:szCs w:val="18"/>
              </w:rPr>
              <w:t>20</w:t>
            </w:r>
          </w:p>
        </w:tc>
        <w:tc>
          <w:tcPr>
            <w:tcW w:w="920" w:type="dxa"/>
            <w:vAlign w:val="center"/>
          </w:tcPr>
          <w:p w:rsidR="006F4B49" w:rsidRDefault="00601EEE">
            <w:pPr>
              <w:jc w:val="center"/>
              <w:rPr>
                <w:b/>
                <w:sz w:val="18"/>
                <w:szCs w:val="18"/>
              </w:rPr>
            </w:pPr>
            <w:r>
              <w:rPr>
                <w:rFonts w:hint="eastAsia"/>
                <w:b/>
                <w:sz w:val="18"/>
                <w:szCs w:val="18"/>
              </w:rPr>
              <w:t>195</w:t>
            </w:r>
          </w:p>
        </w:tc>
        <w:tc>
          <w:tcPr>
            <w:tcW w:w="920" w:type="dxa"/>
            <w:vAlign w:val="center"/>
          </w:tcPr>
          <w:p w:rsidR="006F4B49" w:rsidRDefault="00601EEE">
            <w:pPr>
              <w:jc w:val="center"/>
              <w:rPr>
                <w:b/>
                <w:sz w:val="18"/>
                <w:szCs w:val="18"/>
              </w:rPr>
            </w:pPr>
            <w:r>
              <w:rPr>
                <w:rFonts w:hint="eastAsia"/>
                <w:b/>
                <w:sz w:val="18"/>
                <w:szCs w:val="18"/>
              </w:rPr>
              <w:t>96+18</w:t>
            </w:r>
          </w:p>
        </w:tc>
        <w:tc>
          <w:tcPr>
            <w:tcW w:w="921" w:type="dxa"/>
            <w:vAlign w:val="center"/>
          </w:tcPr>
          <w:p w:rsidR="006F4B49" w:rsidRDefault="00601EEE">
            <w:pPr>
              <w:jc w:val="center"/>
              <w:rPr>
                <w:b/>
                <w:sz w:val="18"/>
                <w:szCs w:val="18"/>
              </w:rPr>
            </w:pPr>
            <w:r>
              <w:rPr>
                <w:rFonts w:hint="eastAsia"/>
                <w:b/>
                <w:sz w:val="18"/>
                <w:szCs w:val="18"/>
              </w:rPr>
              <w:t>133</w:t>
            </w:r>
          </w:p>
        </w:tc>
        <w:tc>
          <w:tcPr>
            <w:tcW w:w="992" w:type="dxa"/>
            <w:vAlign w:val="center"/>
          </w:tcPr>
          <w:p w:rsidR="006F4B49" w:rsidRDefault="00601EEE">
            <w:pPr>
              <w:jc w:val="center"/>
              <w:rPr>
                <w:b/>
                <w:sz w:val="18"/>
                <w:szCs w:val="18"/>
              </w:rPr>
            </w:pPr>
            <w:r>
              <w:rPr>
                <w:rFonts w:hint="eastAsia"/>
                <w:b/>
                <w:sz w:val="18"/>
                <w:szCs w:val="18"/>
              </w:rPr>
              <w:t>4.0</w:t>
            </w:r>
          </w:p>
        </w:tc>
        <w:tc>
          <w:tcPr>
            <w:tcW w:w="992" w:type="dxa"/>
            <w:vAlign w:val="center"/>
          </w:tcPr>
          <w:p w:rsidR="006F4B49" w:rsidRDefault="00601EEE">
            <w:pPr>
              <w:jc w:val="center"/>
              <w:rPr>
                <w:b/>
                <w:sz w:val="18"/>
                <w:szCs w:val="18"/>
              </w:rPr>
            </w:pPr>
            <w:r>
              <w:rPr>
                <w:rFonts w:ascii="Times New Roman" w:hAnsi="Times New Roman" w:cs="Times New Roman" w:hint="eastAsia"/>
                <w:b/>
                <w:sz w:val="18"/>
                <w:szCs w:val="18"/>
              </w:rPr>
              <w:t>100</w:t>
            </w:r>
          </w:p>
        </w:tc>
      </w:tr>
      <w:tr w:rsidR="006F4B49">
        <w:trPr>
          <w:jc w:val="center"/>
        </w:trPr>
        <w:tc>
          <w:tcPr>
            <w:tcW w:w="920" w:type="dxa"/>
            <w:vAlign w:val="center"/>
          </w:tcPr>
          <w:p w:rsidR="006F4B49" w:rsidRDefault="00601EEE">
            <w:pPr>
              <w:jc w:val="center"/>
              <w:rPr>
                <w:b/>
                <w:sz w:val="18"/>
                <w:szCs w:val="18"/>
              </w:rPr>
            </w:pPr>
            <w:r>
              <w:rPr>
                <w:rFonts w:hint="eastAsia"/>
                <w:b/>
                <w:sz w:val="18"/>
                <w:szCs w:val="18"/>
              </w:rPr>
              <w:t>25</w:t>
            </w:r>
          </w:p>
        </w:tc>
        <w:tc>
          <w:tcPr>
            <w:tcW w:w="920" w:type="dxa"/>
            <w:vAlign w:val="center"/>
          </w:tcPr>
          <w:p w:rsidR="006F4B49" w:rsidRDefault="00601EEE">
            <w:pPr>
              <w:jc w:val="center"/>
              <w:rPr>
                <w:b/>
                <w:sz w:val="18"/>
                <w:szCs w:val="18"/>
              </w:rPr>
            </w:pPr>
            <w:r>
              <w:rPr>
                <w:rFonts w:hint="eastAsia"/>
                <w:b/>
                <w:sz w:val="18"/>
                <w:szCs w:val="18"/>
              </w:rPr>
              <w:t>225</w:t>
            </w:r>
          </w:p>
        </w:tc>
        <w:tc>
          <w:tcPr>
            <w:tcW w:w="920" w:type="dxa"/>
            <w:vAlign w:val="center"/>
          </w:tcPr>
          <w:p w:rsidR="006F4B49" w:rsidRDefault="00601EEE">
            <w:pPr>
              <w:jc w:val="center"/>
              <w:rPr>
                <w:b/>
                <w:sz w:val="18"/>
                <w:szCs w:val="18"/>
              </w:rPr>
            </w:pPr>
            <w:r>
              <w:rPr>
                <w:rFonts w:hint="eastAsia"/>
                <w:b/>
                <w:sz w:val="18"/>
                <w:szCs w:val="18"/>
              </w:rPr>
              <w:t>96+18</w:t>
            </w:r>
          </w:p>
        </w:tc>
        <w:tc>
          <w:tcPr>
            <w:tcW w:w="921" w:type="dxa"/>
            <w:vAlign w:val="center"/>
          </w:tcPr>
          <w:p w:rsidR="006F4B49" w:rsidRDefault="00601EEE">
            <w:pPr>
              <w:jc w:val="center"/>
              <w:rPr>
                <w:b/>
                <w:sz w:val="18"/>
                <w:szCs w:val="18"/>
              </w:rPr>
            </w:pPr>
            <w:r>
              <w:rPr>
                <w:rFonts w:hint="eastAsia"/>
                <w:b/>
                <w:sz w:val="18"/>
                <w:szCs w:val="18"/>
              </w:rPr>
              <w:t>133</w:t>
            </w:r>
          </w:p>
        </w:tc>
        <w:tc>
          <w:tcPr>
            <w:tcW w:w="992" w:type="dxa"/>
            <w:vAlign w:val="center"/>
          </w:tcPr>
          <w:p w:rsidR="006F4B49" w:rsidRDefault="00601EEE">
            <w:pPr>
              <w:jc w:val="center"/>
              <w:rPr>
                <w:b/>
                <w:sz w:val="18"/>
                <w:szCs w:val="18"/>
              </w:rPr>
            </w:pPr>
            <w:r>
              <w:rPr>
                <w:rFonts w:hint="eastAsia"/>
                <w:b/>
                <w:sz w:val="18"/>
                <w:szCs w:val="18"/>
              </w:rPr>
              <w:t>6.3</w:t>
            </w:r>
          </w:p>
        </w:tc>
        <w:tc>
          <w:tcPr>
            <w:tcW w:w="992" w:type="dxa"/>
            <w:vAlign w:val="center"/>
          </w:tcPr>
          <w:p w:rsidR="006F4B49" w:rsidRDefault="00601EEE">
            <w:pPr>
              <w:jc w:val="center"/>
              <w:rPr>
                <w:rFonts w:ascii="Times New Roman" w:hAnsi="Times New Roman" w:cs="Times New Roman"/>
                <w:b/>
                <w:sz w:val="18"/>
                <w:szCs w:val="18"/>
              </w:rPr>
            </w:pPr>
            <w:r>
              <w:rPr>
                <w:rFonts w:ascii="Times New Roman" w:hAnsi="Times New Roman" w:cs="Times New Roman" w:hint="eastAsia"/>
                <w:b/>
                <w:sz w:val="18"/>
                <w:szCs w:val="18"/>
              </w:rPr>
              <w:t>100</w:t>
            </w:r>
          </w:p>
        </w:tc>
      </w:tr>
    </w:tbl>
    <w:p w:rsidR="006F4B49" w:rsidRDefault="006F4B49">
      <w:pPr>
        <w:pStyle w:val="aa"/>
        <w:ind w:firstLineChars="0" w:firstLine="0"/>
        <w:outlineLvl w:val="0"/>
        <w:rPr>
          <w:rFonts w:ascii="Arial" w:eastAsia="幼圆" w:hAnsi="Arial" w:cs="Arial"/>
          <w:b/>
          <w:sz w:val="24"/>
          <w:szCs w:val="24"/>
        </w:rPr>
      </w:pPr>
    </w:p>
    <w:p w:rsidR="006F4B49" w:rsidRDefault="00601EEE">
      <w:pPr>
        <w:pStyle w:val="aa"/>
        <w:numPr>
          <w:ilvl w:val="0"/>
          <w:numId w:val="1"/>
        </w:numPr>
        <w:ind w:firstLineChars="0"/>
        <w:outlineLvl w:val="0"/>
        <w:rPr>
          <w:rFonts w:ascii="Arial" w:eastAsia="幼圆" w:hAnsi="Arial" w:cs="Arial"/>
          <w:b/>
          <w:sz w:val="24"/>
          <w:szCs w:val="24"/>
        </w:rPr>
      </w:pPr>
      <w:r>
        <w:rPr>
          <w:rFonts w:ascii="Arial" w:eastAsia="幼圆" w:hAnsi="Arial" w:cs="Arial"/>
          <w:b/>
          <w:sz w:val="24"/>
          <w:szCs w:val="24"/>
        </w:rPr>
        <w:t>安装方法</w:t>
      </w:r>
    </w:p>
    <w:p w:rsidR="006F4B49" w:rsidRDefault="00601EEE">
      <w:pPr>
        <w:pStyle w:val="aa"/>
        <w:numPr>
          <w:ilvl w:val="0"/>
          <w:numId w:val="4"/>
        </w:numPr>
        <w:ind w:firstLineChars="0"/>
        <w:rPr>
          <w:sz w:val="18"/>
          <w:szCs w:val="18"/>
        </w:rPr>
      </w:pPr>
      <w:r>
        <w:rPr>
          <w:rFonts w:hint="eastAsia"/>
          <w:sz w:val="18"/>
          <w:szCs w:val="18"/>
        </w:rPr>
        <w:t>水表口径应根据安装地点的管道直径及流量大小来选择适宜口径的水表，选择水表时应根据管道经常使用的流量小于或接近水表的常用流量为宜，不能单纯以管道口径确定水表</w:t>
      </w:r>
    </w:p>
    <w:p w:rsidR="006F4B49" w:rsidRDefault="00601EEE">
      <w:pPr>
        <w:pStyle w:val="aa"/>
        <w:numPr>
          <w:ilvl w:val="0"/>
          <w:numId w:val="4"/>
        </w:numPr>
        <w:ind w:firstLineChars="0"/>
        <w:outlineLvl w:val="1"/>
        <w:rPr>
          <w:rFonts w:ascii="Arial" w:eastAsia="幼圆" w:hAnsi="Arial" w:cs="Arial"/>
          <w:b/>
          <w:sz w:val="24"/>
          <w:szCs w:val="24"/>
        </w:rPr>
      </w:pPr>
      <w:r>
        <w:rPr>
          <w:rFonts w:hint="eastAsia"/>
          <w:sz w:val="18"/>
          <w:szCs w:val="18"/>
        </w:rPr>
        <w:t>安装前，应先除去管道内的麻丝、沙石等杂物，以免造成水表出现机械故障</w:t>
      </w:r>
    </w:p>
    <w:p w:rsidR="006F4B49" w:rsidRDefault="00601EEE">
      <w:pPr>
        <w:pStyle w:val="aa"/>
        <w:numPr>
          <w:ilvl w:val="0"/>
          <w:numId w:val="4"/>
        </w:numPr>
        <w:ind w:firstLineChars="0"/>
        <w:rPr>
          <w:rFonts w:ascii="Arial" w:eastAsia="幼圆" w:hAnsi="Arial" w:cs="Arial"/>
          <w:b/>
          <w:sz w:val="24"/>
          <w:szCs w:val="24"/>
        </w:rPr>
      </w:pPr>
      <w:r>
        <w:rPr>
          <w:rFonts w:hint="eastAsia"/>
          <w:sz w:val="18"/>
          <w:szCs w:val="18"/>
        </w:rPr>
        <w:t>水平安装，标度盘均应朝上，表壳上箭头方向必须与水流方向一致；安装位置应避免曝晒、水淹、冰冻和污染，方便拆装和抄表；在雨季、冬季应采取防雨防冻措施</w:t>
      </w:r>
    </w:p>
    <w:p w:rsidR="006F4B49" w:rsidRDefault="00601EEE">
      <w:pPr>
        <w:pStyle w:val="aa"/>
        <w:numPr>
          <w:ilvl w:val="0"/>
          <w:numId w:val="4"/>
        </w:numPr>
        <w:ind w:firstLineChars="0"/>
        <w:outlineLvl w:val="1"/>
        <w:rPr>
          <w:rFonts w:ascii="Arial" w:eastAsia="幼圆" w:hAnsi="Arial" w:cs="Arial"/>
          <w:b/>
          <w:sz w:val="24"/>
          <w:szCs w:val="24"/>
        </w:rPr>
      </w:pPr>
      <w:r>
        <w:rPr>
          <w:rFonts w:hint="eastAsia"/>
          <w:sz w:val="18"/>
          <w:szCs w:val="18"/>
        </w:rPr>
        <w:t>水表前面应装有阀门，以便切断水源拆装水表</w:t>
      </w:r>
    </w:p>
    <w:p w:rsidR="006F4B49" w:rsidRDefault="00601EEE">
      <w:pPr>
        <w:pStyle w:val="aa"/>
        <w:numPr>
          <w:ilvl w:val="0"/>
          <w:numId w:val="4"/>
        </w:numPr>
        <w:ind w:firstLineChars="0"/>
        <w:rPr>
          <w:rFonts w:ascii="Arial" w:eastAsia="幼圆" w:hAnsi="Arial" w:cs="Arial"/>
          <w:b/>
          <w:sz w:val="24"/>
          <w:szCs w:val="24"/>
        </w:rPr>
      </w:pPr>
      <w:r>
        <w:rPr>
          <w:rFonts w:hint="eastAsia"/>
          <w:sz w:val="18"/>
          <w:szCs w:val="18"/>
        </w:rPr>
        <w:t>装在环状配水管网进水端时，须安装水表专用逆止阀，以防止水表倒转</w:t>
      </w:r>
    </w:p>
    <w:p w:rsidR="006F4B49" w:rsidRDefault="00601EEE">
      <w:pPr>
        <w:pStyle w:val="aa"/>
        <w:numPr>
          <w:ilvl w:val="0"/>
          <w:numId w:val="4"/>
        </w:numPr>
        <w:ind w:firstLineChars="0"/>
        <w:rPr>
          <w:rFonts w:ascii="Arial" w:eastAsia="幼圆" w:hAnsi="Arial" w:cs="Arial"/>
          <w:b/>
          <w:sz w:val="24"/>
          <w:szCs w:val="24"/>
        </w:rPr>
      </w:pPr>
      <w:r>
        <w:rPr>
          <w:rFonts w:hint="eastAsia"/>
          <w:sz w:val="18"/>
          <w:szCs w:val="18"/>
        </w:rPr>
        <w:t>为保证水表计量准确，直接与水表连接的直管段长度（不含阀门等管件）表前应不少于</w:t>
      </w:r>
      <w:r>
        <w:rPr>
          <w:rFonts w:hint="eastAsia"/>
          <w:sz w:val="18"/>
          <w:szCs w:val="18"/>
        </w:rPr>
        <w:t>10</w:t>
      </w:r>
      <w:r>
        <w:rPr>
          <w:rFonts w:hint="eastAsia"/>
          <w:sz w:val="18"/>
          <w:szCs w:val="18"/>
        </w:rPr>
        <w:t>倍水表标称口径，表后应不少于</w:t>
      </w:r>
      <w:r>
        <w:rPr>
          <w:rFonts w:hint="eastAsia"/>
          <w:sz w:val="18"/>
          <w:szCs w:val="18"/>
        </w:rPr>
        <w:t>5</w:t>
      </w:r>
      <w:r>
        <w:rPr>
          <w:rFonts w:hint="eastAsia"/>
          <w:sz w:val="18"/>
          <w:szCs w:val="18"/>
        </w:rPr>
        <w:t>倍水表标称口径</w:t>
      </w:r>
    </w:p>
    <w:p w:rsidR="006F4B49" w:rsidRDefault="00601EEE">
      <w:pPr>
        <w:pStyle w:val="aa"/>
        <w:ind w:firstLineChars="0" w:firstLine="0"/>
      </w:pPr>
      <w:r>
        <w:rPr>
          <w:rFonts w:hint="eastAsia"/>
        </w:rPr>
        <w:lastRenderedPageBreak/>
        <w:t xml:space="preserve">          </w:t>
      </w:r>
      <w:r>
        <w:rPr>
          <w:noProof/>
        </w:rPr>
        <w:drawing>
          <wp:inline distT="0" distB="0" distL="114300" distR="114300">
            <wp:extent cx="3378200" cy="14097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3378200" cy="1409700"/>
                    </a:xfrm>
                    <a:prstGeom prst="rect">
                      <a:avLst/>
                    </a:prstGeom>
                    <a:noFill/>
                    <a:ln>
                      <a:noFill/>
                    </a:ln>
                  </pic:spPr>
                </pic:pic>
              </a:graphicData>
            </a:graphic>
          </wp:inline>
        </w:drawing>
      </w:r>
    </w:p>
    <w:p w:rsidR="006F4B49" w:rsidRDefault="00601EEE">
      <w:pPr>
        <w:pStyle w:val="aa"/>
        <w:ind w:firstLineChars="1500" w:firstLine="3150"/>
      </w:pPr>
      <w:r>
        <w:rPr>
          <w:rFonts w:hint="eastAsia"/>
        </w:rPr>
        <w:t>安装示意图</w:t>
      </w:r>
    </w:p>
    <w:p w:rsidR="006F4B49" w:rsidRDefault="00601EEE">
      <w:pPr>
        <w:outlineLvl w:val="0"/>
        <w:rPr>
          <w:rFonts w:ascii="Arial" w:eastAsia="幼圆" w:hAnsi="Arial" w:cs="Arial"/>
          <w:b/>
          <w:sz w:val="24"/>
          <w:szCs w:val="24"/>
        </w:rPr>
      </w:pPr>
      <w:r>
        <w:rPr>
          <w:rFonts w:ascii="幼圆" w:eastAsia="幼圆" w:hAnsi="幼圆" w:cs="幼圆" w:hint="eastAsia"/>
          <w:b/>
          <w:sz w:val="24"/>
          <w:szCs w:val="24"/>
          <w:lang w:bidi="ar"/>
        </w:rPr>
        <w:t>七</w:t>
      </w:r>
      <w:r>
        <w:rPr>
          <w:rFonts w:ascii="Arial" w:eastAsia="幼圆" w:hAnsi="Arial" w:cs="Arial"/>
          <w:b/>
          <w:sz w:val="24"/>
          <w:szCs w:val="24"/>
          <w:lang w:bidi="ar"/>
        </w:rPr>
        <w:t>.</w:t>
      </w:r>
      <w:r>
        <w:rPr>
          <w:rFonts w:ascii="幼圆" w:eastAsia="幼圆" w:hAnsi="幼圆" w:cs="幼圆" w:hint="eastAsia"/>
          <w:b/>
          <w:sz w:val="24"/>
          <w:szCs w:val="24"/>
          <w:lang w:bidi="ar"/>
        </w:rPr>
        <w:t>注意事项</w:t>
      </w:r>
    </w:p>
    <w:p w:rsidR="006F4B49" w:rsidRDefault="00601EEE">
      <w:pPr>
        <w:pStyle w:val="a6"/>
        <w:numPr>
          <w:ilvl w:val="0"/>
          <w:numId w:val="5"/>
        </w:numPr>
        <w:rPr>
          <w:rFonts w:ascii="Calibri" w:eastAsia="宋体" w:hAnsi="Calibri" w:cs="Times New Roman"/>
          <w:sz w:val="18"/>
          <w:szCs w:val="18"/>
        </w:rPr>
      </w:pPr>
      <w:r>
        <w:rPr>
          <w:rFonts w:ascii="宋体" w:eastAsia="宋体" w:hAnsi="宋体" w:cs="宋体" w:hint="eastAsia"/>
          <w:sz w:val="18"/>
          <w:szCs w:val="18"/>
          <w:lang w:bidi="ar"/>
        </w:rPr>
        <w:t>不能用于标称压力大于</w:t>
      </w:r>
      <w:r>
        <w:rPr>
          <w:rFonts w:ascii="Calibri" w:eastAsia="宋体" w:hAnsi="Calibri" w:cs="Calibri"/>
          <w:sz w:val="18"/>
          <w:szCs w:val="18"/>
          <w:lang w:bidi="ar"/>
        </w:rPr>
        <w:t xml:space="preserve">1.0 </w:t>
      </w:r>
      <w:proofErr w:type="spellStart"/>
      <w:r>
        <w:rPr>
          <w:rFonts w:ascii="Calibri" w:eastAsia="宋体" w:hAnsi="Calibri" w:cs="Calibri"/>
          <w:sz w:val="18"/>
          <w:szCs w:val="18"/>
          <w:lang w:bidi="ar"/>
        </w:rPr>
        <w:t>MPa</w:t>
      </w:r>
      <w:proofErr w:type="spellEnd"/>
      <w:r>
        <w:rPr>
          <w:rFonts w:ascii="宋体" w:eastAsia="宋体" w:hAnsi="宋体" w:cs="宋体" w:hint="eastAsia"/>
          <w:sz w:val="18"/>
          <w:szCs w:val="18"/>
          <w:lang w:bidi="ar"/>
        </w:rPr>
        <w:t>的管道中；采用二次加压供水的高层建筑，当标称压力大于</w:t>
      </w:r>
      <w:r>
        <w:rPr>
          <w:rFonts w:ascii="Calibri" w:eastAsia="宋体" w:hAnsi="Calibri" w:cs="Calibri"/>
          <w:sz w:val="18"/>
          <w:szCs w:val="18"/>
          <w:lang w:bidi="ar"/>
        </w:rPr>
        <w:t xml:space="preserve">1.0 </w:t>
      </w:r>
      <w:proofErr w:type="spellStart"/>
      <w:r>
        <w:rPr>
          <w:rFonts w:ascii="Calibri" w:eastAsia="宋体" w:hAnsi="Calibri" w:cs="Calibri"/>
          <w:sz w:val="18"/>
          <w:szCs w:val="18"/>
          <w:lang w:bidi="ar"/>
        </w:rPr>
        <w:t>MPa</w:t>
      </w:r>
      <w:proofErr w:type="spellEnd"/>
      <w:r>
        <w:rPr>
          <w:rFonts w:ascii="宋体" w:eastAsia="宋体" w:hAnsi="宋体" w:cs="宋体" w:hint="eastAsia"/>
          <w:sz w:val="18"/>
          <w:szCs w:val="18"/>
          <w:lang w:bidi="ar"/>
        </w:rPr>
        <w:t>时，应采用高压水表</w:t>
      </w:r>
    </w:p>
    <w:p w:rsidR="006F4B49" w:rsidRDefault="00601EEE">
      <w:pPr>
        <w:pStyle w:val="a6"/>
        <w:numPr>
          <w:ilvl w:val="0"/>
          <w:numId w:val="5"/>
        </w:numPr>
        <w:rPr>
          <w:rFonts w:ascii="Calibri" w:eastAsia="幼圆" w:hAnsi="Calibri" w:cs="Calibri"/>
          <w:sz w:val="21"/>
          <w:szCs w:val="21"/>
        </w:rPr>
      </w:pPr>
      <w:r>
        <w:rPr>
          <w:rFonts w:ascii="宋体" w:eastAsia="宋体" w:hAnsi="宋体" w:cs="宋体" w:hint="eastAsia"/>
          <w:sz w:val="18"/>
          <w:szCs w:val="18"/>
          <w:lang w:bidi="ar"/>
        </w:rPr>
        <w:t>使用时表玻璃下面有水或气泡属正常现象；由于水锤影响，不用水时指针有微小窜动亦属正常</w:t>
      </w:r>
    </w:p>
    <w:p w:rsidR="006F4B49" w:rsidRDefault="00601EEE">
      <w:pPr>
        <w:pStyle w:val="a6"/>
        <w:numPr>
          <w:ilvl w:val="0"/>
          <w:numId w:val="5"/>
        </w:numPr>
        <w:rPr>
          <w:rFonts w:ascii="Calibri" w:eastAsia="幼圆" w:hAnsi="Calibri" w:cs="Calibri"/>
          <w:sz w:val="21"/>
          <w:szCs w:val="21"/>
        </w:rPr>
      </w:pPr>
      <w:r>
        <w:rPr>
          <w:rFonts w:ascii="宋体" w:eastAsia="宋体" w:hAnsi="宋体" w:cs="宋体" w:hint="eastAsia"/>
          <w:sz w:val="18"/>
          <w:szCs w:val="18"/>
          <w:lang w:bidi="ar"/>
        </w:rPr>
        <w:t>使用期间</w:t>
      </w:r>
      <w:proofErr w:type="gramStart"/>
      <w:r>
        <w:rPr>
          <w:rFonts w:ascii="宋体" w:eastAsia="宋体" w:hAnsi="宋体" w:cs="宋体" w:hint="eastAsia"/>
          <w:sz w:val="18"/>
          <w:szCs w:val="18"/>
          <w:lang w:bidi="ar"/>
        </w:rPr>
        <w:t>会因滤水网</w:t>
      </w:r>
      <w:proofErr w:type="gramEnd"/>
      <w:r>
        <w:rPr>
          <w:rFonts w:ascii="宋体" w:eastAsia="宋体" w:hAnsi="宋体" w:cs="宋体" w:hint="eastAsia"/>
          <w:sz w:val="18"/>
          <w:szCs w:val="18"/>
          <w:lang w:bidi="ar"/>
        </w:rPr>
        <w:t>堵塞、零件磨损等原因引起误差增大或停走，出现上述情况，用户应将水表送交有关部门进行检修</w:t>
      </w:r>
    </w:p>
    <w:p w:rsidR="006F4B49" w:rsidRDefault="00601EEE">
      <w:pPr>
        <w:pStyle w:val="a6"/>
        <w:numPr>
          <w:ilvl w:val="0"/>
          <w:numId w:val="6"/>
        </w:numPr>
        <w:outlineLvl w:val="1"/>
        <w:rPr>
          <w:rFonts w:ascii="Calibri" w:eastAsia="宋体" w:hAnsi="Calibri" w:cs="Times New Roman"/>
          <w:sz w:val="18"/>
          <w:szCs w:val="18"/>
        </w:rPr>
      </w:pPr>
      <w:r>
        <w:rPr>
          <w:rFonts w:ascii="宋体" w:eastAsia="宋体" w:hAnsi="宋体" w:cs="宋体" w:hint="eastAsia"/>
          <w:sz w:val="18"/>
          <w:szCs w:val="18"/>
          <w:lang w:bidi="ar"/>
        </w:rPr>
        <w:t>水表应安装在远离水泵、电机、等强磁场的环境</w:t>
      </w:r>
    </w:p>
    <w:p w:rsidR="006F4B49" w:rsidRPr="00CD07B5" w:rsidRDefault="00601EEE">
      <w:pPr>
        <w:pStyle w:val="a6"/>
        <w:numPr>
          <w:ilvl w:val="0"/>
          <w:numId w:val="6"/>
        </w:numPr>
        <w:rPr>
          <w:rFonts w:ascii="Calibri" w:eastAsia="宋体" w:hAnsi="Calibri" w:cs="Times New Roman"/>
          <w:sz w:val="18"/>
          <w:szCs w:val="18"/>
        </w:rPr>
      </w:pPr>
      <w:r>
        <w:rPr>
          <w:rFonts w:ascii="宋体" w:eastAsia="宋体" w:hAnsi="宋体" w:cs="宋体" w:hint="eastAsia"/>
          <w:sz w:val="18"/>
          <w:szCs w:val="18"/>
          <w:lang w:bidi="ar"/>
        </w:rPr>
        <w:t>水表安装时面板应朝上或左右倾斜不超过</w:t>
      </w:r>
      <w:r>
        <w:rPr>
          <w:rFonts w:ascii="Calibri" w:eastAsia="宋体" w:hAnsi="Calibri" w:cs="Calibri"/>
          <w:sz w:val="18"/>
          <w:szCs w:val="18"/>
          <w:lang w:bidi="ar"/>
        </w:rPr>
        <w:t>30</w:t>
      </w:r>
      <w:r>
        <w:rPr>
          <w:rFonts w:ascii="宋体" w:eastAsia="宋体" w:hAnsi="宋体" w:cs="宋体" w:hint="eastAsia"/>
          <w:sz w:val="18"/>
          <w:szCs w:val="18"/>
          <w:lang w:bidi="ar"/>
        </w:rPr>
        <w:t>度，以免影响通讯效果和水表寿命</w:t>
      </w:r>
    </w:p>
    <w:p w:rsidR="00CD07B5" w:rsidRDefault="00CD07B5">
      <w:pPr>
        <w:pStyle w:val="a6"/>
        <w:numPr>
          <w:ilvl w:val="0"/>
          <w:numId w:val="6"/>
        </w:numPr>
        <w:rPr>
          <w:rFonts w:ascii="Calibri" w:eastAsia="宋体" w:hAnsi="Calibri" w:cs="Times New Roman"/>
          <w:sz w:val="18"/>
          <w:szCs w:val="18"/>
        </w:rPr>
      </w:pPr>
      <w:r>
        <w:rPr>
          <w:rFonts w:ascii="宋体" w:eastAsia="宋体" w:hAnsi="宋体" w:cs="宋体" w:hint="eastAsia"/>
          <w:sz w:val="18"/>
          <w:szCs w:val="18"/>
          <w:lang w:bidi="ar"/>
        </w:rPr>
        <w:t>该水表为阀控类型，若管理部门已经开启欠费关阀模式，请及时充值以确保正常用水</w:t>
      </w:r>
    </w:p>
    <w:p w:rsidR="006F4B49" w:rsidRDefault="00CB1B58">
      <w:pPr>
        <w:pStyle w:val="a6"/>
        <w:rPr>
          <w:rFonts w:ascii="Calibri" w:eastAsia="宋体" w:hAnsi="Calibri" w:cs="Times New Roman"/>
          <w:sz w:val="18"/>
          <w:szCs w:val="18"/>
        </w:rPr>
      </w:pPr>
      <w:r>
        <w:rPr>
          <w:rFonts w:ascii="Calibri" w:eastAsia="宋体" w:hAnsi="Calibri" w:cs="Times New Roman" w:hint="eastAsia"/>
          <w:sz w:val="18"/>
          <w:szCs w:val="18"/>
        </w:rPr>
        <w:t xml:space="preserve">7.   </w:t>
      </w:r>
      <w:r>
        <w:rPr>
          <w:rFonts w:ascii="Calibri" w:eastAsia="宋体" w:hAnsi="Calibri" w:cs="Times New Roman" w:hint="eastAsia"/>
          <w:sz w:val="18"/>
          <w:szCs w:val="18"/>
        </w:rPr>
        <w:t>井下安装时，水表应距井底</w:t>
      </w:r>
      <w:r>
        <w:rPr>
          <w:rFonts w:ascii="Calibri" w:eastAsia="宋体" w:hAnsi="Calibri" w:cs="Times New Roman" w:hint="eastAsia"/>
          <w:sz w:val="18"/>
          <w:szCs w:val="18"/>
        </w:rPr>
        <w:t>20</w:t>
      </w:r>
      <w:r>
        <w:rPr>
          <w:rFonts w:ascii="Calibri" w:eastAsia="宋体" w:hAnsi="Calibri" w:cs="Times New Roman" w:hint="eastAsia"/>
          <w:sz w:val="18"/>
          <w:szCs w:val="18"/>
        </w:rPr>
        <w:t>公分以上位置安装。</w:t>
      </w:r>
      <w:bookmarkStart w:id="1" w:name="_GoBack"/>
      <w:bookmarkEnd w:id="1"/>
    </w:p>
    <w:p w:rsidR="006F4B49" w:rsidRDefault="00601EEE">
      <w:pPr>
        <w:outlineLvl w:val="0"/>
        <w:rPr>
          <w:rFonts w:ascii="幼圆" w:eastAsia="幼圆" w:hAnsi="幼圆" w:cs="幼圆"/>
          <w:b/>
          <w:sz w:val="24"/>
          <w:szCs w:val="24"/>
          <w:lang w:bidi="ar"/>
        </w:rPr>
      </w:pPr>
      <w:r>
        <w:rPr>
          <w:rFonts w:ascii="幼圆" w:eastAsia="幼圆" w:hAnsi="幼圆" w:cs="幼圆" w:hint="eastAsia"/>
          <w:b/>
          <w:sz w:val="24"/>
          <w:szCs w:val="24"/>
          <w:lang w:bidi="ar"/>
        </w:rPr>
        <w:t>八</w:t>
      </w:r>
      <w:r>
        <w:rPr>
          <w:rFonts w:ascii="幼圆" w:eastAsia="幼圆" w:hAnsi="幼圆" w:cs="幼圆"/>
          <w:b/>
          <w:sz w:val="24"/>
          <w:szCs w:val="24"/>
          <w:lang w:bidi="ar"/>
        </w:rPr>
        <w:t>、产品质保条件</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水表使用遵循以下行业、国家标准和检定规程：</w:t>
      </w:r>
    </w:p>
    <w:p w:rsidR="006F4B49" w:rsidRDefault="00601EEE">
      <w:pPr>
        <w:pStyle w:val="a6"/>
        <w:rPr>
          <w:rFonts w:ascii="Calibri" w:eastAsia="宋体" w:hAnsi="Calibri" w:cs="Times New Roman"/>
          <w:b/>
          <w:bCs/>
          <w:sz w:val="18"/>
          <w:szCs w:val="18"/>
        </w:rPr>
      </w:pPr>
      <w:r>
        <w:rPr>
          <w:rFonts w:ascii="Calibri" w:eastAsia="宋体" w:hAnsi="Calibri" w:cs="Times New Roman"/>
          <w:b/>
          <w:bCs/>
          <w:sz w:val="18"/>
          <w:szCs w:val="18"/>
        </w:rPr>
        <w:t>水表相关行业标准：</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IC</w:t>
      </w:r>
      <w:r>
        <w:rPr>
          <w:rFonts w:ascii="Calibri" w:eastAsia="宋体" w:hAnsi="Calibri" w:cs="Times New Roman"/>
          <w:sz w:val="18"/>
          <w:szCs w:val="18"/>
        </w:rPr>
        <w:t>卡水表</w:t>
      </w:r>
      <w:r>
        <w:rPr>
          <w:rFonts w:ascii="Calibri" w:eastAsia="宋体" w:hAnsi="Calibri" w:cs="Times New Roman"/>
          <w:sz w:val="18"/>
          <w:szCs w:val="18"/>
        </w:rPr>
        <w:t>CJ/T 133-2012</w:t>
      </w:r>
      <w:r>
        <w:rPr>
          <w:rFonts w:ascii="Calibri" w:eastAsia="宋体" w:hAnsi="Calibri" w:cs="Times New Roman"/>
          <w:sz w:val="18"/>
          <w:szCs w:val="18"/>
        </w:rPr>
        <w:t>《</w:t>
      </w:r>
      <w:r>
        <w:rPr>
          <w:rFonts w:ascii="Calibri" w:eastAsia="宋体" w:hAnsi="Calibri" w:cs="Times New Roman"/>
          <w:sz w:val="18"/>
          <w:szCs w:val="18"/>
        </w:rPr>
        <w:t>IC</w:t>
      </w:r>
      <w:r>
        <w:rPr>
          <w:rFonts w:ascii="Calibri" w:eastAsia="宋体" w:hAnsi="Calibri" w:cs="Times New Roman"/>
          <w:sz w:val="18"/>
          <w:szCs w:val="18"/>
        </w:rPr>
        <w:t>卡冷水水表》</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电子远传水表</w:t>
      </w:r>
      <w:r>
        <w:rPr>
          <w:rFonts w:ascii="Calibri" w:eastAsia="宋体" w:hAnsi="Calibri" w:cs="Times New Roman"/>
          <w:sz w:val="18"/>
          <w:szCs w:val="18"/>
        </w:rPr>
        <w:t>CJ/T 224-2012</w:t>
      </w:r>
      <w:r>
        <w:rPr>
          <w:rFonts w:ascii="Calibri" w:eastAsia="宋体" w:hAnsi="Calibri" w:cs="Times New Roman"/>
          <w:sz w:val="18"/>
          <w:szCs w:val="18"/>
        </w:rPr>
        <w:t>《</w:t>
      </w:r>
      <w:r>
        <w:rPr>
          <w:rFonts w:ascii="Calibri" w:eastAsia="宋体" w:hAnsi="Calibri" w:cs="Times New Roman"/>
          <w:sz w:val="18"/>
          <w:szCs w:val="18"/>
        </w:rPr>
        <w:t>IC</w:t>
      </w:r>
      <w:r>
        <w:rPr>
          <w:rFonts w:ascii="Calibri" w:eastAsia="宋体" w:hAnsi="Calibri" w:cs="Times New Roman"/>
          <w:sz w:val="18"/>
          <w:szCs w:val="18"/>
        </w:rPr>
        <w:t>卡冷水水表》</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超声波水表</w:t>
      </w:r>
      <w:r>
        <w:rPr>
          <w:rFonts w:ascii="Calibri" w:eastAsia="宋体" w:hAnsi="Calibri" w:cs="Times New Roman"/>
          <w:sz w:val="18"/>
          <w:szCs w:val="18"/>
        </w:rPr>
        <w:t>CJ/T 434-2013</w:t>
      </w:r>
      <w:r>
        <w:rPr>
          <w:rFonts w:ascii="Calibri" w:eastAsia="宋体" w:hAnsi="Calibri" w:cs="Times New Roman"/>
          <w:sz w:val="18"/>
          <w:szCs w:val="18"/>
        </w:rPr>
        <w:t>《超声波水表》</w:t>
      </w:r>
    </w:p>
    <w:p w:rsidR="006F4B49" w:rsidRDefault="00601EEE">
      <w:pPr>
        <w:pStyle w:val="a6"/>
        <w:rPr>
          <w:rFonts w:ascii="Calibri" w:eastAsia="宋体" w:hAnsi="Calibri" w:cs="Times New Roman"/>
          <w:b/>
          <w:bCs/>
          <w:sz w:val="18"/>
          <w:szCs w:val="18"/>
        </w:rPr>
      </w:pPr>
      <w:r>
        <w:rPr>
          <w:rFonts w:ascii="Calibri" w:eastAsia="宋体" w:hAnsi="Calibri" w:cs="Times New Roman"/>
          <w:b/>
          <w:bCs/>
          <w:sz w:val="18"/>
          <w:szCs w:val="18"/>
        </w:rPr>
        <w:t>水表国家标准及检定规程：</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GB/T778-2018</w:t>
      </w:r>
      <w:r>
        <w:rPr>
          <w:rFonts w:ascii="Calibri" w:eastAsia="宋体" w:hAnsi="Calibri" w:cs="Times New Roman"/>
          <w:sz w:val="18"/>
          <w:szCs w:val="18"/>
        </w:rPr>
        <w:t>《饮用冷水水表和热水水表》</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JJG162-2019</w:t>
      </w:r>
      <w:r>
        <w:rPr>
          <w:rFonts w:ascii="Calibri" w:eastAsia="宋体" w:hAnsi="Calibri" w:cs="Times New Roman"/>
          <w:sz w:val="18"/>
          <w:szCs w:val="18"/>
        </w:rPr>
        <w:t>《饮用冷水水表》</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以下使用条件，造成的损坏，不在质</w:t>
      </w:r>
      <w:proofErr w:type="gramStart"/>
      <w:r>
        <w:rPr>
          <w:rFonts w:ascii="Calibri" w:eastAsia="宋体" w:hAnsi="Calibri" w:cs="Times New Roman"/>
          <w:sz w:val="18"/>
          <w:szCs w:val="18"/>
        </w:rPr>
        <w:t>保范围</w:t>
      </w:r>
      <w:proofErr w:type="gramEnd"/>
      <w:r>
        <w:rPr>
          <w:rFonts w:ascii="Calibri" w:eastAsia="宋体" w:hAnsi="Calibri" w:cs="Times New Roman"/>
          <w:sz w:val="18"/>
          <w:szCs w:val="18"/>
        </w:rPr>
        <w:t>内：</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1</w:t>
      </w:r>
      <w:r>
        <w:rPr>
          <w:rFonts w:ascii="Calibri" w:eastAsia="宋体" w:hAnsi="Calibri" w:cs="Times New Roman"/>
          <w:sz w:val="18"/>
          <w:szCs w:val="18"/>
        </w:rPr>
        <w:t>、长期泥淹水泡，导致锈死；</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2</w:t>
      </w:r>
      <w:r>
        <w:rPr>
          <w:rFonts w:ascii="Calibri" w:eastAsia="宋体" w:hAnsi="Calibri" w:cs="Times New Roman"/>
          <w:sz w:val="18"/>
          <w:szCs w:val="18"/>
        </w:rPr>
        <w:t>、水质或管网内杂质过多导致产品故障；</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3</w:t>
      </w:r>
      <w:r>
        <w:rPr>
          <w:rFonts w:ascii="Calibri" w:eastAsia="宋体" w:hAnsi="Calibri" w:cs="Times New Roman"/>
          <w:sz w:val="18"/>
          <w:szCs w:val="18"/>
        </w:rPr>
        <w:t>、人为损坏、拆卸铅封、硬物砸坏、火烤等损坏表体结构；</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lastRenderedPageBreak/>
        <w:t>4</w:t>
      </w:r>
      <w:r>
        <w:rPr>
          <w:rFonts w:ascii="Calibri" w:eastAsia="宋体" w:hAnsi="Calibri" w:cs="Times New Roman"/>
          <w:sz w:val="18"/>
          <w:szCs w:val="18"/>
        </w:rPr>
        <w:t>、水温过高，环境温度超过国标正常规定；</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5</w:t>
      </w:r>
      <w:r>
        <w:rPr>
          <w:rFonts w:ascii="Calibri" w:eastAsia="宋体" w:hAnsi="Calibri" w:cs="Times New Roman"/>
          <w:sz w:val="18"/>
          <w:szCs w:val="18"/>
        </w:rPr>
        <w:t>、因管网问题或现场安装环境不符合标准要求；</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6</w:t>
      </w:r>
      <w:r>
        <w:rPr>
          <w:rFonts w:ascii="Calibri" w:eastAsia="宋体" w:hAnsi="Calibri" w:cs="Times New Roman"/>
          <w:sz w:val="18"/>
          <w:szCs w:val="18"/>
        </w:rPr>
        <w:t>、有线远传表信号线</w:t>
      </w:r>
      <w:r>
        <w:rPr>
          <w:rFonts w:ascii="Calibri" w:eastAsia="宋体" w:hAnsi="Calibri" w:cs="Times New Roman"/>
          <w:sz w:val="18"/>
          <w:szCs w:val="18"/>
        </w:rPr>
        <w:t>/</w:t>
      </w:r>
      <w:r>
        <w:rPr>
          <w:rFonts w:ascii="Calibri" w:eastAsia="宋体" w:hAnsi="Calibri" w:cs="Times New Roman"/>
          <w:sz w:val="18"/>
          <w:szCs w:val="18"/>
        </w:rPr>
        <w:t>电源线接入强电、电源线接反导致电路烧坏；</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7</w:t>
      </w:r>
      <w:r>
        <w:rPr>
          <w:rFonts w:ascii="Calibri" w:eastAsia="宋体" w:hAnsi="Calibri" w:cs="Times New Roman"/>
          <w:sz w:val="18"/>
          <w:szCs w:val="18"/>
        </w:rPr>
        <w:t>、擅自更改抄表</w:t>
      </w:r>
      <w:r>
        <w:rPr>
          <w:rFonts w:ascii="Calibri" w:eastAsia="宋体" w:hAnsi="Calibri" w:cs="Times New Roman"/>
          <w:sz w:val="18"/>
          <w:szCs w:val="18"/>
        </w:rPr>
        <w:t>/</w:t>
      </w:r>
      <w:r>
        <w:rPr>
          <w:rFonts w:ascii="Calibri" w:eastAsia="宋体" w:hAnsi="Calibri" w:cs="Times New Roman"/>
          <w:sz w:val="18"/>
          <w:szCs w:val="18"/>
        </w:rPr>
        <w:t>上传频率，导致电池没电；</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8</w:t>
      </w:r>
      <w:r>
        <w:rPr>
          <w:rFonts w:ascii="Calibri" w:eastAsia="宋体" w:hAnsi="Calibri" w:cs="Times New Roman"/>
          <w:sz w:val="18"/>
          <w:szCs w:val="18"/>
        </w:rPr>
        <w:t>、无线远传表安装现场运营商信号强度不满足产品数据传输要求；</w:t>
      </w:r>
    </w:p>
    <w:p w:rsidR="006F4B49" w:rsidRDefault="00601EEE">
      <w:pPr>
        <w:pStyle w:val="a6"/>
        <w:rPr>
          <w:rFonts w:ascii="Calibri" w:eastAsia="宋体" w:hAnsi="Calibri" w:cs="Times New Roman"/>
          <w:sz w:val="18"/>
          <w:szCs w:val="18"/>
        </w:rPr>
      </w:pPr>
      <w:r>
        <w:rPr>
          <w:rFonts w:ascii="Calibri" w:eastAsia="宋体" w:hAnsi="Calibri" w:cs="Times New Roman"/>
          <w:sz w:val="18"/>
          <w:szCs w:val="18"/>
        </w:rPr>
        <w:t>9</w:t>
      </w:r>
      <w:r>
        <w:rPr>
          <w:rFonts w:ascii="Calibri" w:eastAsia="宋体" w:hAnsi="Calibri" w:cs="Times New Roman"/>
          <w:sz w:val="18"/>
          <w:szCs w:val="18"/>
        </w:rPr>
        <w:t>、无线远传表安装现场，因金属井盖</w:t>
      </w:r>
      <w:r>
        <w:rPr>
          <w:rFonts w:ascii="Calibri" w:eastAsia="宋体" w:hAnsi="Calibri" w:cs="Times New Roman"/>
          <w:sz w:val="18"/>
          <w:szCs w:val="18"/>
        </w:rPr>
        <w:t>/</w:t>
      </w:r>
      <w:r>
        <w:rPr>
          <w:rFonts w:ascii="Calibri" w:eastAsia="宋体" w:hAnsi="Calibri" w:cs="Times New Roman"/>
          <w:sz w:val="18"/>
          <w:szCs w:val="18"/>
        </w:rPr>
        <w:t>金属门等信号屏蔽导致数据传输信号弱。</w:t>
      </w:r>
    </w:p>
    <w:p w:rsidR="006F4B49" w:rsidRDefault="006F4B49">
      <w:pPr>
        <w:outlineLvl w:val="0"/>
        <w:rPr>
          <w:rFonts w:ascii="幼圆" w:eastAsia="幼圆" w:hAnsi="幼圆" w:cs="幼圆"/>
          <w:b/>
          <w:sz w:val="24"/>
          <w:szCs w:val="24"/>
          <w:lang w:bidi="ar"/>
        </w:rPr>
      </w:pPr>
    </w:p>
    <w:p w:rsidR="006F4B49" w:rsidRDefault="00601EEE">
      <w:pPr>
        <w:outlineLvl w:val="0"/>
        <w:rPr>
          <w:rFonts w:ascii="幼圆" w:eastAsia="幼圆" w:hAnsi="幼圆" w:cs="幼圆"/>
          <w:b/>
          <w:sz w:val="24"/>
          <w:szCs w:val="24"/>
          <w:lang w:bidi="ar"/>
        </w:rPr>
      </w:pPr>
      <w:r>
        <w:rPr>
          <w:rFonts w:ascii="幼圆" w:eastAsia="幼圆" w:hAnsi="幼圆" w:cs="幼圆" w:hint="eastAsia"/>
          <w:b/>
          <w:sz w:val="24"/>
          <w:szCs w:val="24"/>
          <w:lang w:bidi="ar"/>
        </w:rPr>
        <w:t>九.水表附件</w:t>
      </w:r>
    </w:p>
    <w:p w:rsidR="006F4B49" w:rsidRDefault="006F4B49">
      <w:pPr>
        <w:outlineLvl w:val="0"/>
        <w:rPr>
          <w:rFonts w:ascii="幼圆" w:eastAsia="幼圆" w:hAnsi="幼圆" w:cs="幼圆"/>
          <w:b/>
          <w:sz w:val="24"/>
          <w:szCs w:val="24"/>
          <w:lang w:bidi="ar"/>
        </w:rPr>
      </w:pPr>
    </w:p>
    <w:tbl>
      <w:tblPr>
        <w:tblStyle w:val="a7"/>
        <w:tblW w:w="7062" w:type="dxa"/>
        <w:tblInd w:w="135" w:type="dxa"/>
        <w:tblLayout w:type="fixed"/>
        <w:tblLook w:val="04A0" w:firstRow="1" w:lastRow="0" w:firstColumn="1" w:lastColumn="0" w:noHBand="0" w:noVBand="1"/>
      </w:tblPr>
      <w:tblGrid>
        <w:gridCol w:w="1765"/>
        <w:gridCol w:w="1765"/>
        <w:gridCol w:w="1766"/>
        <w:gridCol w:w="1766"/>
      </w:tblGrid>
      <w:tr w:rsidR="006F4B49">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序号</w:t>
            </w:r>
          </w:p>
        </w:tc>
        <w:tc>
          <w:tcPr>
            <w:tcW w:w="1765"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名称</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单位</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数量</w:t>
            </w:r>
          </w:p>
        </w:tc>
      </w:tr>
      <w:tr w:rsidR="006F4B49">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1</w:t>
            </w:r>
          </w:p>
        </w:tc>
        <w:tc>
          <w:tcPr>
            <w:tcW w:w="1765"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接管螺母</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套</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1</w:t>
            </w:r>
          </w:p>
        </w:tc>
      </w:tr>
      <w:tr w:rsidR="006F4B49">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2</w:t>
            </w:r>
          </w:p>
        </w:tc>
        <w:tc>
          <w:tcPr>
            <w:tcW w:w="1765"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橡胶垫片</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proofErr w:type="gramStart"/>
            <w:r>
              <w:rPr>
                <w:rFonts w:ascii="宋体" w:eastAsia="宋体" w:hAnsi="宋体" w:cs="宋体" w:hint="eastAsia"/>
                <w:bCs/>
                <w:sz w:val="20"/>
                <w:szCs w:val="20"/>
                <w:lang w:bidi="ar"/>
              </w:rPr>
              <w:t>个</w:t>
            </w:r>
            <w:proofErr w:type="gramEnd"/>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2</w:t>
            </w:r>
          </w:p>
        </w:tc>
      </w:tr>
      <w:tr w:rsidR="006F4B49">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3</w:t>
            </w:r>
          </w:p>
        </w:tc>
        <w:tc>
          <w:tcPr>
            <w:tcW w:w="1765"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hint="eastAsia"/>
                <w:bCs/>
                <w:sz w:val="20"/>
                <w:szCs w:val="20"/>
                <w:lang w:bidi="ar"/>
              </w:rPr>
              <w:t>合格证</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张</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1</w:t>
            </w:r>
          </w:p>
        </w:tc>
      </w:tr>
      <w:tr w:rsidR="006F4B49">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4</w:t>
            </w:r>
          </w:p>
        </w:tc>
        <w:tc>
          <w:tcPr>
            <w:tcW w:w="1765"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使用说明书</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宋体" w:eastAsia="宋体" w:hAnsi="宋体" w:cs="宋体" w:hint="eastAsia"/>
                <w:bCs/>
                <w:sz w:val="20"/>
                <w:szCs w:val="20"/>
                <w:lang w:bidi="ar"/>
              </w:rPr>
              <w:t>份</w:t>
            </w:r>
          </w:p>
        </w:tc>
        <w:tc>
          <w:tcPr>
            <w:tcW w:w="1766" w:type="dxa"/>
            <w:tcBorders>
              <w:top w:val="single" w:sz="4" w:space="0" w:color="auto"/>
              <w:left w:val="nil"/>
              <w:bottom w:val="single" w:sz="4" w:space="0" w:color="auto"/>
              <w:right w:val="single" w:sz="4" w:space="0" w:color="auto"/>
            </w:tcBorders>
            <w:shd w:val="clear" w:color="auto" w:fill="auto"/>
            <w:vAlign w:val="center"/>
          </w:tcPr>
          <w:p w:rsidR="006F4B49" w:rsidRDefault="00601EEE">
            <w:pPr>
              <w:spacing w:line="240" w:lineRule="atLeast"/>
              <w:jc w:val="center"/>
              <w:rPr>
                <w:rFonts w:ascii="Calibri" w:eastAsia="宋体" w:hAnsi="Calibri" w:cs="Times New Roman"/>
                <w:bCs/>
                <w:sz w:val="20"/>
                <w:szCs w:val="20"/>
              </w:rPr>
            </w:pPr>
            <w:r>
              <w:rPr>
                <w:rFonts w:ascii="Calibri" w:eastAsia="宋体" w:hAnsi="Calibri" w:cs="Calibri"/>
                <w:bCs/>
                <w:sz w:val="20"/>
                <w:szCs w:val="20"/>
                <w:lang w:bidi="ar"/>
              </w:rPr>
              <w:t>1</w:t>
            </w:r>
          </w:p>
        </w:tc>
      </w:tr>
    </w:tbl>
    <w:p w:rsidR="006F4B49" w:rsidRDefault="00601EEE">
      <w:pPr>
        <w:rPr>
          <w:rFonts w:ascii="Arial" w:eastAsia="幼圆" w:hAnsi="Arial" w:cs="Arial"/>
          <w:b/>
          <w:sz w:val="24"/>
          <w:szCs w:val="24"/>
          <w:lang w:bidi="ar"/>
        </w:rPr>
      </w:pPr>
      <w:r>
        <w:rPr>
          <w:rFonts w:ascii="Arial" w:eastAsia="幼圆" w:hAnsi="Arial" w:cs="Arial"/>
          <w:b/>
          <w:sz w:val="24"/>
          <w:szCs w:val="24"/>
          <w:lang w:bidi="ar"/>
        </w:rPr>
        <w:t xml:space="preserve">  </w:t>
      </w: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F4B49">
      <w:pPr>
        <w:rPr>
          <w:rFonts w:ascii="Arial" w:eastAsia="幼圆" w:hAnsi="Arial" w:cs="Arial"/>
          <w:b/>
          <w:sz w:val="24"/>
          <w:szCs w:val="24"/>
          <w:lang w:bidi="ar"/>
        </w:rPr>
      </w:pPr>
    </w:p>
    <w:p w:rsidR="006F4B49" w:rsidRDefault="00601EEE">
      <w:pPr>
        <w:rPr>
          <w:rFonts w:ascii="Calibri" w:eastAsia="宋体" w:hAnsi="Calibri" w:cs="Times New Roman"/>
          <w:sz w:val="18"/>
          <w:szCs w:val="18"/>
        </w:rPr>
      </w:pPr>
      <w:r>
        <w:rPr>
          <w:rFonts w:ascii="Calibri" w:eastAsia="宋体" w:hAnsi="Calibri" w:cs="Times New Roman"/>
          <w:noProof/>
          <w:szCs w:val="21"/>
        </w:rPr>
        <w:drawing>
          <wp:inline distT="0" distB="0" distL="114300" distR="114300">
            <wp:extent cx="4867275" cy="57150"/>
            <wp:effectExtent l="0" t="0" r="9525"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4867275" cy="57150"/>
                    </a:xfrm>
                    <a:prstGeom prst="rect">
                      <a:avLst/>
                    </a:prstGeom>
                    <a:noFill/>
                    <a:ln w="9525">
                      <a:noFill/>
                    </a:ln>
                  </pic:spPr>
                </pic:pic>
              </a:graphicData>
            </a:graphic>
          </wp:inline>
        </w:drawing>
      </w:r>
    </w:p>
    <w:p w:rsidR="006F4B49" w:rsidRDefault="00601EEE">
      <w:pPr>
        <w:rPr>
          <w:rFonts w:ascii="Arial" w:eastAsia="幼圆" w:hAnsi="Arial" w:cs="Arial"/>
          <w:b/>
          <w:sz w:val="32"/>
          <w:szCs w:val="32"/>
        </w:rPr>
      </w:pPr>
      <w:r>
        <w:rPr>
          <w:rFonts w:ascii="宋体" w:eastAsia="宋体" w:hAnsi="宋体" w:cs="宋体" w:hint="eastAsia"/>
          <w:sz w:val="18"/>
          <w:szCs w:val="18"/>
          <w:lang w:bidi="ar"/>
        </w:rPr>
        <w:t>地</w:t>
      </w:r>
      <w:r>
        <w:rPr>
          <w:rFonts w:ascii="Calibri" w:eastAsia="宋体" w:hAnsi="Calibri" w:cs="Times New Roman" w:hint="eastAsia"/>
          <w:sz w:val="18"/>
          <w:szCs w:val="18"/>
          <w:lang w:bidi="ar"/>
        </w:rPr>
        <w:t xml:space="preserve">    </w:t>
      </w:r>
      <w:r>
        <w:rPr>
          <w:rFonts w:ascii="宋体" w:eastAsia="宋体" w:hAnsi="宋体" w:cs="宋体" w:hint="eastAsia"/>
          <w:sz w:val="18"/>
          <w:szCs w:val="18"/>
          <w:lang w:bidi="ar"/>
        </w:rPr>
        <w:t>址：北京市经济技术开发区兴盛街</w:t>
      </w:r>
      <w:r>
        <w:rPr>
          <w:rFonts w:ascii="Calibri" w:eastAsia="宋体" w:hAnsi="Calibri" w:cs="Calibri"/>
          <w:sz w:val="18"/>
          <w:szCs w:val="18"/>
          <w:lang w:bidi="ar"/>
        </w:rPr>
        <w:t>19</w:t>
      </w:r>
      <w:r>
        <w:rPr>
          <w:rFonts w:ascii="宋体" w:eastAsia="宋体" w:hAnsi="宋体" w:cs="宋体" w:hint="eastAsia"/>
          <w:sz w:val="18"/>
          <w:szCs w:val="18"/>
          <w:lang w:bidi="ar"/>
        </w:rPr>
        <w:t>号</w:t>
      </w:r>
      <w:r>
        <w:rPr>
          <w:rFonts w:ascii="Arial" w:eastAsia="幼圆" w:hAnsi="Arial" w:cs="Arial"/>
          <w:b/>
          <w:sz w:val="32"/>
          <w:szCs w:val="32"/>
          <w:lang w:bidi="ar"/>
        </w:rPr>
        <w:tab/>
      </w:r>
      <w:r>
        <w:rPr>
          <w:rFonts w:ascii="Arial" w:eastAsia="幼圆" w:hAnsi="Arial" w:cs="Arial"/>
          <w:b/>
          <w:sz w:val="32"/>
          <w:szCs w:val="32"/>
          <w:lang w:bidi="ar"/>
        </w:rPr>
        <w:tab/>
      </w:r>
      <w:r>
        <w:rPr>
          <w:rFonts w:ascii="Arial" w:eastAsia="幼圆" w:hAnsi="Arial" w:cs="Arial"/>
          <w:b/>
          <w:sz w:val="32"/>
          <w:szCs w:val="32"/>
          <w:lang w:bidi="ar"/>
        </w:rPr>
        <w:tab/>
      </w:r>
      <w:r>
        <w:rPr>
          <w:rFonts w:ascii="Arial" w:eastAsia="幼圆" w:hAnsi="Arial" w:cs="Arial"/>
          <w:b/>
          <w:sz w:val="32"/>
          <w:szCs w:val="32"/>
          <w:lang w:bidi="ar"/>
        </w:rPr>
        <w:tab/>
      </w:r>
      <w:proofErr w:type="gramStart"/>
      <w:r>
        <w:rPr>
          <w:rFonts w:ascii="宋体" w:eastAsia="宋体" w:hAnsi="宋体" w:cs="宋体" w:hint="eastAsia"/>
          <w:sz w:val="18"/>
          <w:szCs w:val="18"/>
          <w:lang w:bidi="ar"/>
        </w:rPr>
        <w:t>邮</w:t>
      </w:r>
      <w:proofErr w:type="gramEnd"/>
      <w:r>
        <w:rPr>
          <w:rFonts w:ascii="Calibri" w:eastAsia="宋体" w:hAnsi="Calibri" w:cs="Times New Roman" w:hint="eastAsia"/>
          <w:sz w:val="18"/>
          <w:szCs w:val="18"/>
          <w:lang w:bidi="ar"/>
        </w:rPr>
        <w:t xml:space="preserve">    </w:t>
      </w:r>
      <w:r>
        <w:rPr>
          <w:rFonts w:ascii="宋体" w:eastAsia="宋体" w:hAnsi="宋体" w:cs="宋体" w:hint="eastAsia"/>
          <w:sz w:val="18"/>
          <w:szCs w:val="18"/>
          <w:lang w:bidi="ar"/>
        </w:rPr>
        <w:t>编：</w:t>
      </w:r>
      <w:r>
        <w:rPr>
          <w:rFonts w:ascii="Calibri" w:eastAsia="宋体" w:hAnsi="Calibri" w:cs="Calibri"/>
          <w:sz w:val="18"/>
          <w:szCs w:val="18"/>
          <w:lang w:bidi="ar"/>
        </w:rPr>
        <w:t>100176</w:t>
      </w:r>
    </w:p>
    <w:p w:rsidR="006F4B49" w:rsidRDefault="00601EEE">
      <w:pPr>
        <w:spacing w:line="200" w:lineRule="exact"/>
        <w:rPr>
          <w:rFonts w:ascii="Calibri" w:eastAsia="宋体" w:hAnsi="Calibri" w:cs="Times New Roman"/>
          <w:sz w:val="18"/>
          <w:szCs w:val="18"/>
        </w:rPr>
      </w:pPr>
      <w:r>
        <w:rPr>
          <w:rFonts w:ascii="宋体" w:eastAsia="宋体" w:hAnsi="宋体" w:cs="宋体" w:hint="eastAsia"/>
          <w:sz w:val="18"/>
          <w:szCs w:val="18"/>
          <w:lang w:bidi="ar"/>
        </w:rPr>
        <w:t>传</w:t>
      </w:r>
      <w:r>
        <w:rPr>
          <w:rFonts w:ascii="Calibri" w:eastAsia="宋体" w:hAnsi="Calibri" w:cs="Times New Roman" w:hint="eastAsia"/>
          <w:sz w:val="18"/>
          <w:szCs w:val="18"/>
          <w:lang w:bidi="ar"/>
        </w:rPr>
        <w:t xml:space="preserve">    </w:t>
      </w:r>
      <w:r>
        <w:rPr>
          <w:rFonts w:ascii="宋体" w:eastAsia="宋体" w:hAnsi="宋体" w:cs="宋体" w:hint="eastAsia"/>
          <w:sz w:val="18"/>
          <w:szCs w:val="18"/>
          <w:lang w:bidi="ar"/>
        </w:rPr>
        <w:t>真：</w:t>
      </w:r>
      <w:r>
        <w:rPr>
          <w:rFonts w:ascii="Calibri" w:eastAsia="宋体" w:hAnsi="Calibri" w:cs="Calibri"/>
          <w:sz w:val="18"/>
          <w:szCs w:val="18"/>
          <w:lang w:bidi="ar"/>
        </w:rPr>
        <w:t>010-67880119</w:t>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Calibri" w:eastAsia="宋体" w:hAnsi="Calibri" w:cs="Times New Roman"/>
          <w:sz w:val="18"/>
          <w:szCs w:val="18"/>
          <w:lang w:bidi="ar"/>
        </w:rPr>
        <w:tab/>
      </w:r>
      <w:r>
        <w:rPr>
          <w:rFonts w:ascii="宋体" w:eastAsia="宋体" w:hAnsi="宋体" w:cs="宋体" w:hint="eastAsia"/>
          <w:sz w:val="18"/>
          <w:szCs w:val="18"/>
          <w:lang w:bidi="ar"/>
        </w:rPr>
        <w:t>服务热线：</w:t>
      </w:r>
      <w:r>
        <w:rPr>
          <w:rFonts w:ascii="Calibri" w:eastAsia="宋体" w:hAnsi="Calibri" w:cs="Calibri"/>
          <w:sz w:val="18"/>
          <w:szCs w:val="18"/>
          <w:lang w:bidi="ar"/>
        </w:rPr>
        <w:t>400-666-6613</w:t>
      </w:r>
    </w:p>
    <w:p w:rsidR="006F4B49" w:rsidRDefault="00601EEE">
      <w:pPr>
        <w:spacing w:line="200" w:lineRule="exact"/>
        <w:rPr>
          <w:rFonts w:ascii="Calibri" w:eastAsia="宋体" w:hAnsi="Calibri" w:cs="Times New Roman"/>
          <w:szCs w:val="21"/>
        </w:rPr>
      </w:pPr>
      <w:r>
        <w:rPr>
          <w:rFonts w:ascii="宋体" w:eastAsia="宋体" w:hAnsi="宋体" w:cs="宋体" w:hint="eastAsia"/>
          <w:sz w:val="18"/>
          <w:szCs w:val="18"/>
          <w:lang w:bidi="ar"/>
        </w:rPr>
        <w:lastRenderedPageBreak/>
        <w:t>网</w:t>
      </w:r>
      <w:r>
        <w:rPr>
          <w:rFonts w:ascii="Calibri" w:eastAsia="宋体" w:hAnsi="Calibri" w:cs="Times New Roman" w:hint="eastAsia"/>
          <w:sz w:val="18"/>
          <w:szCs w:val="18"/>
          <w:lang w:bidi="ar"/>
        </w:rPr>
        <w:t xml:space="preserve">    </w:t>
      </w:r>
      <w:r>
        <w:rPr>
          <w:rFonts w:ascii="宋体" w:eastAsia="宋体" w:hAnsi="宋体" w:cs="宋体" w:hint="eastAsia"/>
          <w:sz w:val="18"/>
          <w:szCs w:val="18"/>
          <w:lang w:bidi="ar"/>
        </w:rPr>
        <w:t>址：</w:t>
      </w:r>
      <w:hyperlink r:id="rId12" w:history="1">
        <w:r>
          <w:rPr>
            <w:rStyle w:val="a9"/>
            <w:rFonts w:ascii="Calibri" w:eastAsia="宋体" w:hAnsi="Calibri" w:cs="Calibri"/>
            <w:sz w:val="18"/>
            <w:szCs w:val="18"/>
          </w:rPr>
          <w:t>http://www.ydyb.com</w:t>
        </w:r>
      </w:hyperlink>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18"/>
          <w:szCs w:val="18"/>
          <w:lang w:bidi="ar"/>
        </w:rPr>
        <w:tab/>
      </w:r>
      <w:r>
        <w:rPr>
          <w:rStyle w:val="15"/>
          <w:rFonts w:ascii="Calibri" w:eastAsia="宋体" w:hAnsi="Calibri" w:cs="Times New Roman" w:hint="default"/>
          <w:sz w:val="20"/>
          <w:szCs w:val="20"/>
          <w:lang w:bidi="ar"/>
        </w:rPr>
        <w:t xml:space="preserve"> </w:t>
      </w:r>
      <w:r>
        <w:rPr>
          <w:rFonts w:ascii="Calibri" w:eastAsia="宋体" w:hAnsi="Calibri" w:cs="Calibri"/>
          <w:b/>
          <w:sz w:val="20"/>
          <w:szCs w:val="20"/>
          <w:lang w:bidi="ar"/>
        </w:rPr>
        <w:t>E-mail</w:t>
      </w:r>
      <w:r>
        <w:rPr>
          <w:rFonts w:ascii="Calibri" w:eastAsia="宋体" w:hAnsi="Calibri" w:cs="Times New Roman"/>
          <w:b/>
          <w:sz w:val="20"/>
          <w:szCs w:val="20"/>
          <w:lang w:bidi="ar"/>
        </w:rPr>
        <w:t xml:space="preserve"> </w:t>
      </w:r>
      <w:r>
        <w:rPr>
          <w:rFonts w:ascii="宋体" w:eastAsia="宋体" w:hAnsi="宋体" w:cs="宋体" w:hint="eastAsia"/>
          <w:sz w:val="18"/>
          <w:szCs w:val="18"/>
          <w:lang w:bidi="ar"/>
        </w:rPr>
        <w:t>：</w:t>
      </w:r>
      <w:r>
        <w:rPr>
          <w:rFonts w:ascii="Calibri" w:eastAsia="宋体" w:hAnsi="Calibri" w:cs="Calibri"/>
          <w:sz w:val="18"/>
          <w:szCs w:val="18"/>
          <w:lang w:bidi="ar"/>
        </w:rPr>
        <w:t>ydybcom@sina.com</w:t>
      </w:r>
    </w:p>
    <w:p w:rsidR="006F4B49" w:rsidRDefault="006F4B49">
      <w:pPr>
        <w:ind w:left="426"/>
        <w:rPr>
          <w:sz w:val="18"/>
          <w:szCs w:val="18"/>
        </w:rPr>
      </w:pPr>
    </w:p>
    <w:sectPr w:rsidR="006F4B49">
      <w:headerReference w:type="default" r:id="rId13"/>
      <w:pgSz w:w="16838" w:h="11906" w:orient="landscape"/>
      <w:pgMar w:top="567" w:right="567" w:bottom="567" w:left="567" w:header="680" w:footer="454"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3D" w:rsidRDefault="00D26B3D">
      <w:r>
        <w:separator/>
      </w:r>
    </w:p>
  </w:endnote>
  <w:endnote w:type="continuationSeparator" w:id="0">
    <w:p w:rsidR="00D26B3D" w:rsidRDefault="00D2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幼圆">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3D" w:rsidRDefault="00D26B3D">
      <w:r>
        <w:separator/>
      </w:r>
    </w:p>
  </w:footnote>
  <w:footnote w:type="continuationSeparator" w:id="0">
    <w:p w:rsidR="00D26B3D" w:rsidRDefault="00D26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B49" w:rsidRDefault="006F4B49">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59190"/>
    <w:multiLevelType w:val="multilevel"/>
    <w:tmpl w:val="E8159190"/>
    <w:lvl w:ilvl="0">
      <w:start w:val="4"/>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1EB5210"/>
    <w:multiLevelType w:val="multilevel"/>
    <w:tmpl w:val="01EB5210"/>
    <w:lvl w:ilvl="0">
      <w:start w:val="1"/>
      <w:numFmt w:val="decimal"/>
      <w:lvlText w:val="%1."/>
      <w:lvlJc w:val="left"/>
      <w:pPr>
        <w:ind w:left="360" w:hanging="360"/>
      </w:pPr>
      <w:rPr>
        <w:rFonts w:ascii="Calibri" w:eastAsia="幼圆" w:hAnsi="Calibri" w:cs="Calibri" w:hint="default"/>
        <w:b w:val="0"/>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A3A6BE7"/>
    <w:multiLevelType w:val="multilevel"/>
    <w:tmpl w:val="1A3A6B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9F76FD5"/>
    <w:multiLevelType w:val="multilevel"/>
    <w:tmpl w:val="69F76FD5"/>
    <w:lvl w:ilvl="0">
      <w:start w:val="1"/>
      <w:numFmt w:val="japaneseCounting"/>
      <w:lvlText w:val="%1."/>
      <w:lvlJc w:val="left"/>
      <w:pPr>
        <w:ind w:left="360" w:hanging="36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9247DF"/>
    <w:multiLevelType w:val="multilevel"/>
    <w:tmpl w:val="6C9247DF"/>
    <w:lvl w:ilvl="0">
      <w:start w:val="1"/>
      <w:numFmt w:val="decimal"/>
      <w:lvlText w:val="%1."/>
      <w:lvlJc w:val="left"/>
      <w:pPr>
        <w:ind w:left="360" w:hanging="360"/>
      </w:pPr>
      <w:rPr>
        <w:rFonts w:ascii="Times New Roman" w:eastAsia="幼圆" w:hAnsi="Times New Roman" w:cs="Calibri" w:hint="default"/>
        <w:sz w:val="18"/>
        <w:szCs w:val="18"/>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757A2B99"/>
    <w:multiLevelType w:val="multilevel"/>
    <w:tmpl w:val="757A2B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NGQ0MzU5ZmEzOGVjYzQ4MTlhZjBlMTZmMmQ1YTYifQ=="/>
  </w:docVars>
  <w:rsids>
    <w:rsidRoot w:val="00DD227B"/>
    <w:rsid w:val="0003002A"/>
    <w:rsid w:val="0008709C"/>
    <w:rsid w:val="000A27F3"/>
    <w:rsid w:val="000A507B"/>
    <w:rsid w:val="000F3FBF"/>
    <w:rsid w:val="000F70A4"/>
    <w:rsid w:val="00117AEE"/>
    <w:rsid w:val="001940D5"/>
    <w:rsid w:val="001B633D"/>
    <w:rsid w:val="001C5435"/>
    <w:rsid w:val="002A0B67"/>
    <w:rsid w:val="00365981"/>
    <w:rsid w:val="00397BC7"/>
    <w:rsid w:val="003C3C52"/>
    <w:rsid w:val="003E7CE2"/>
    <w:rsid w:val="00400075"/>
    <w:rsid w:val="00435329"/>
    <w:rsid w:val="004C4AA0"/>
    <w:rsid w:val="004D3D35"/>
    <w:rsid w:val="00536618"/>
    <w:rsid w:val="00601EEE"/>
    <w:rsid w:val="006168CB"/>
    <w:rsid w:val="006246D9"/>
    <w:rsid w:val="00687147"/>
    <w:rsid w:val="006E2348"/>
    <w:rsid w:val="006F4B49"/>
    <w:rsid w:val="0079040C"/>
    <w:rsid w:val="007C19C7"/>
    <w:rsid w:val="007F2789"/>
    <w:rsid w:val="0080719C"/>
    <w:rsid w:val="00807E61"/>
    <w:rsid w:val="00821F7E"/>
    <w:rsid w:val="008629EF"/>
    <w:rsid w:val="00875C5C"/>
    <w:rsid w:val="00892E6B"/>
    <w:rsid w:val="008B0C44"/>
    <w:rsid w:val="0092245E"/>
    <w:rsid w:val="009B5DDA"/>
    <w:rsid w:val="009C3D15"/>
    <w:rsid w:val="009D58E8"/>
    <w:rsid w:val="009F1A21"/>
    <w:rsid w:val="00A37751"/>
    <w:rsid w:val="00A61AE2"/>
    <w:rsid w:val="00A63EEC"/>
    <w:rsid w:val="00AA0BB6"/>
    <w:rsid w:val="00B65172"/>
    <w:rsid w:val="00B843A0"/>
    <w:rsid w:val="00BC2E0D"/>
    <w:rsid w:val="00BC73B8"/>
    <w:rsid w:val="00C0137D"/>
    <w:rsid w:val="00C1162C"/>
    <w:rsid w:val="00CB1B58"/>
    <w:rsid w:val="00CC0748"/>
    <w:rsid w:val="00CC3696"/>
    <w:rsid w:val="00CD07B5"/>
    <w:rsid w:val="00D26B3D"/>
    <w:rsid w:val="00D40042"/>
    <w:rsid w:val="00D76F18"/>
    <w:rsid w:val="00D77970"/>
    <w:rsid w:val="00DD227B"/>
    <w:rsid w:val="00E419D7"/>
    <w:rsid w:val="00E423FA"/>
    <w:rsid w:val="00E53CDF"/>
    <w:rsid w:val="00E83FA3"/>
    <w:rsid w:val="00EC2541"/>
    <w:rsid w:val="00EF21F6"/>
    <w:rsid w:val="00F41DD0"/>
    <w:rsid w:val="00F64A4E"/>
    <w:rsid w:val="00F72DC2"/>
    <w:rsid w:val="00F812A5"/>
    <w:rsid w:val="00F941B3"/>
    <w:rsid w:val="00FF3D37"/>
    <w:rsid w:val="10C66998"/>
    <w:rsid w:val="2EF84229"/>
    <w:rsid w:val="30662EDC"/>
    <w:rsid w:val="35A5318E"/>
    <w:rsid w:val="575A555D"/>
    <w:rsid w:val="62C6120E"/>
    <w:rsid w:val="661058B7"/>
    <w:rsid w:val="6B18321E"/>
    <w:rsid w:val="78C71DB5"/>
    <w:rsid w:val="79780B57"/>
    <w:rsid w:val="7C606511"/>
    <w:rsid w:val="7E11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semiHidden/>
    <w:unhideWhenUsed/>
    <w:qFormat/>
    <w:rPr>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8">
    <w:name w:val="Emphasis"/>
    <w:basedOn w:val="a0"/>
    <w:uiPriority w:val="20"/>
    <w:qFormat/>
    <w:rPr>
      <w:i/>
      <w:iCs/>
    </w:rPr>
  </w:style>
  <w:style w:type="character" w:styleId="a9">
    <w:name w:val="Hyperlink"/>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HTMLChar">
    <w:name w:val="HTML 预设格式 Char"/>
    <w:basedOn w:val="a0"/>
    <w:link w:val="HTML"/>
    <w:uiPriority w:val="99"/>
    <w:semiHidden/>
    <w:qFormat/>
    <w:rPr>
      <w:rFonts w:ascii="宋体" w:eastAsia="宋体" w:hAnsi="宋体" w:cs="宋体"/>
      <w:sz w:val="24"/>
      <w:szCs w:val="24"/>
    </w:rPr>
  </w:style>
  <w:style w:type="character" w:customStyle="1" w:styleId="Char">
    <w:name w:val="批注框文本 Char"/>
    <w:basedOn w:val="a0"/>
    <w:link w:val="a3"/>
    <w:uiPriority w:val="99"/>
    <w:semiHidden/>
    <w:qFormat/>
    <w:rPr>
      <w:kern w:val="2"/>
      <w:sz w:val="18"/>
      <w:szCs w:val="18"/>
    </w:rPr>
  </w:style>
  <w:style w:type="character" w:customStyle="1" w:styleId="15">
    <w:name w:val="15"/>
    <w:basedOn w:val="a0"/>
    <w:qFormat/>
    <w:rPr>
      <w:rFonts w:ascii="幼圆" w:eastAsia="幼圆" w:hAnsi="幼圆" w:cs="幼圆" w:hint="eastAsia"/>
      <w:color w:val="0000FF"/>
      <w:u w:val="singl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semiHidden/>
    <w:unhideWhenUsed/>
    <w:qFormat/>
    <w:rPr>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8">
    <w:name w:val="Emphasis"/>
    <w:basedOn w:val="a0"/>
    <w:uiPriority w:val="20"/>
    <w:qFormat/>
    <w:rPr>
      <w:i/>
      <w:iCs/>
    </w:rPr>
  </w:style>
  <w:style w:type="character" w:styleId="a9">
    <w:name w:val="Hyperlink"/>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HTMLChar">
    <w:name w:val="HTML 预设格式 Char"/>
    <w:basedOn w:val="a0"/>
    <w:link w:val="HTML"/>
    <w:uiPriority w:val="99"/>
    <w:semiHidden/>
    <w:qFormat/>
    <w:rPr>
      <w:rFonts w:ascii="宋体" w:eastAsia="宋体" w:hAnsi="宋体" w:cs="宋体"/>
      <w:sz w:val="24"/>
      <w:szCs w:val="24"/>
    </w:rPr>
  </w:style>
  <w:style w:type="character" w:customStyle="1" w:styleId="Char">
    <w:name w:val="批注框文本 Char"/>
    <w:basedOn w:val="a0"/>
    <w:link w:val="a3"/>
    <w:uiPriority w:val="99"/>
    <w:semiHidden/>
    <w:qFormat/>
    <w:rPr>
      <w:kern w:val="2"/>
      <w:sz w:val="18"/>
      <w:szCs w:val="18"/>
    </w:rPr>
  </w:style>
  <w:style w:type="character" w:customStyle="1" w:styleId="15">
    <w:name w:val="15"/>
    <w:basedOn w:val="a0"/>
    <w:qFormat/>
    <w:rPr>
      <w:rFonts w:ascii="幼圆" w:eastAsia="幼圆" w:hAnsi="幼圆" w:cs="幼圆" w:hint="eastAsia"/>
      <w:color w:val="0000FF"/>
      <w:u w:val="singl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dy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LONG</dc:creator>
  <cp:lastModifiedBy>Cui</cp:lastModifiedBy>
  <cp:revision>8</cp:revision>
  <cp:lastPrinted>2023-05-18T01:55:00Z</cp:lastPrinted>
  <dcterms:created xsi:type="dcterms:W3CDTF">2018-07-10T07:12:00Z</dcterms:created>
  <dcterms:modified xsi:type="dcterms:W3CDTF">2024-03-23T07:51:00Z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2052-12.1.0.15120</vt:lpwstr>
  </property>
  <property fmtid="{D5CDD505-2E9C-101B-9397-08002B2CF9AE}" pid="4" name="ICV">
    <vt:lpwstr>9B8B5D2EF5C246278BA58567392B98D5_13</vt:lpwstr>
  </property>
</Properties>
</file>